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5DBA" w:rsidRDefault="00DA5DBA" w:rsidP="00DA5DBA">
      <w:pPr>
        <w:jc w:val="center"/>
        <w:rPr>
          <w:b/>
          <w:bCs/>
          <w:color w:val="5B9BD5" w:themeColor="accent1"/>
          <w:sz w:val="28"/>
          <w:szCs w:val="28"/>
        </w:rPr>
      </w:pPr>
      <w:r>
        <w:rPr>
          <w:b/>
          <w:bCs/>
          <w:color w:val="5B9BD5" w:themeColor="accent1"/>
          <w:sz w:val="28"/>
          <w:szCs w:val="28"/>
        </w:rPr>
        <w:t>JOINT PROPERTY BY-LAWS</w:t>
      </w:r>
    </w:p>
    <w:p w:rsidR="00DA5DBA" w:rsidRPr="00711F4D" w:rsidRDefault="00DA5DBA" w:rsidP="00DA5DBA">
      <w:pPr>
        <w:rPr>
          <w:b/>
          <w:bCs/>
          <w:color w:val="7030A0"/>
        </w:rPr>
      </w:pPr>
      <w:r w:rsidRPr="00711F4D">
        <w:rPr>
          <w:b/>
          <w:bCs/>
          <w:color w:val="7030A0"/>
        </w:rPr>
        <w:t>Notes</w:t>
      </w:r>
    </w:p>
    <w:p w:rsidR="00DA5DBA" w:rsidRPr="00711F4D" w:rsidRDefault="00DA5DBA" w:rsidP="00DA5DBA">
      <w:pPr>
        <w:pStyle w:val="ListParagraph"/>
        <w:numPr>
          <w:ilvl w:val="0"/>
          <w:numId w:val="1"/>
        </w:numPr>
        <w:jc w:val="both"/>
        <w:rPr>
          <w:i/>
          <w:iCs/>
          <w:sz w:val="20"/>
          <w:szCs w:val="20"/>
        </w:rPr>
      </w:pPr>
      <w:r w:rsidRPr="00711F4D">
        <w:rPr>
          <w:b/>
          <w:bCs/>
          <w:i/>
          <w:iCs/>
          <w:sz w:val="20"/>
          <w:szCs w:val="20"/>
        </w:rPr>
        <w:t xml:space="preserve">Legislative requirement for By-Laws </w:t>
      </w:r>
      <w:r w:rsidRPr="00711F4D">
        <w:rPr>
          <w:i/>
          <w:iCs/>
          <w:sz w:val="20"/>
          <w:szCs w:val="20"/>
        </w:rPr>
        <w:t xml:space="preserve">- The requirements for the Joint Property By-Law are set out in the </w:t>
      </w:r>
      <w:r w:rsidRPr="00DA5DBA">
        <w:rPr>
          <w:i/>
          <w:iCs/>
          <w:sz w:val="20"/>
          <w:szCs w:val="20"/>
        </w:rPr>
        <w:t xml:space="preserve">Law 27 of 2017 </w:t>
      </w:r>
      <w:r w:rsidRPr="00711F4D">
        <w:rPr>
          <w:i/>
          <w:iCs/>
          <w:sz w:val="20"/>
          <w:szCs w:val="20"/>
        </w:rPr>
        <w:t xml:space="preserve">and the Resolution </w:t>
      </w:r>
      <w:r w:rsidRPr="00DA5DBA">
        <w:rPr>
          <w:i/>
          <w:iCs/>
          <w:sz w:val="20"/>
          <w:szCs w:val="20"/>
        </w:rPr>
        <w:t>No 7 of 2018 regulating Owners Associations and Joint Properties</w:t>
      </w:r>
      <w:r>
        <w:rPr>
          <w:i/>
          <w:iCs/>
          <w:sz w:val="20"/>
          <w:szCs w:val="20"/>
        </w:rPr>
        <w:t>.</w:t>
      </w:r>
    </w:p>
    <w:p w:rsidR="00DA5DBA" w:rsidRDefault="00DA5DBA" w:rsidP="00DA5DBA">
      <w:pPr>
        <w:pStyle w:val="ListParagraph"/>
        <w:numPr>
          <w:ilvl w:val="0"/>
          <w:numId w:val="1"/>
        </w:numPr>
        <w:jc w:val="both"/>
        <w:rPr>
          <w:i/>
          <w:iCs/>
          <w:sz w:val="20"/>
          <w:szCs w:val="20"/>
        </w:rPr>
      </w:pPr>
      <w:r w:rsidRPr="00711F4D">
        <w:rPr>
          <w:b/>
          <w:bCs/>
          <w:i/>
          <w:iCs/>
          <w:sz w:val="20"/>
          <w:szCs w:val="20"/>
        </w:rPr>
        <w:t>For new developments</w:t>
      </w:r>
      <w:r w:rsidRPr="00711F4D">
        <w:rPr>
          <w:i/>
          <w:iCs/>
          <w:sz w:val="20"/>
          <w:szCs w:val="20"/>
        </w:rPr>
        <w:t xml:space="preserve"> – the developer shall prepare the Joint Property By-Laws applying the relevant parts of the Template as a guide</w:t>
      </w:r>
      <w:r>
        <w:rPr>
          <w:i/>
          <w:iCs/>
          <w:sz w:val="20"/>
          <w:szCs w:val="20"/>
        </w:rPr>
        <w:t>, with particular emphasis given to Part 1</w:t>
      </w:r>
      <w:r w:rsidRPr="00711F4D">
        <w:rPr>
          <w:i/>
          <w:iCs/>
          <w:sz w:val="20"/>
          <w:szCs w:val="20"/>
        </w:rPr>
        <w:t>. The wording of each document is left to the discretion of the developer, taking into account the design of the development.</w:t>
      </w:r>
      <w:r>
        <w:rPr>
          <w:i/>
          <w:iCs/>
          <w:sz w:val="20"/>
          <w:szCs w:val="20"/>
        </w:rPr>
        <w:t xml:space="preserve"> Much o</w:t>
      </w:r>
      <w:bookmarkStart w:id="0" w:name="_GoBack"/>
      <w:bookmarkEnd w:id="0"/>
      <w:r>
        <w:rPr>
          <w:i/>
          <w:iCs/>
          <w:sz w:val="20"/>
          <w:szCs w:val="20"/>
        </w:rPr>
        <w:t>f the template is relevant to the new development.</w:t>
      </w:r>
    </w:p>
    <w:p w:rsidR="00DA5DBA" w:rsidRDefault="00DA5DBA" w:rsidP="00DA5DBA">
      <w:pPr>
        <w:pStyle w:val="ListParagraph"/>
        <w:numPr>
          <w:ilvl w:val="0"/>
          <w:numId w:val="1"/>
        </w:numPr>
        <w:jc w:val="both"/>
        <w:rPr>
          <w:i/>
          <w:iCs/>
          <w:sz w:val="20"/>
          <w:szCs w:val="20"/>
        </w:rPr>
      </w:pPr>
      <w:r>
        <w:rPr>
          <w:b/>
          <w:bCs/>
          <w:i/>
          <w:iCs/>
          <w:sz w:val="20"/>
          <w:szCs w:val="20"/>
        </w:rPr>
        <w:t xml:space="preserve">For existing developments </w:t>
      </w:r>
      <w:r>
        <w:rPr>
          <w:i/>
          <w:iCs/>
          <w:sz w:val="20"/>
          <w:szCs w:val="20"/>
        </w:rPr>
        <w:t>– transitioning owners associations need to create By-Laws following the relevant parts of the template, with particular emphasis on Part 2 and the Unit entitlements, omitting those parts of Part 1 best suited for the developer of a new development. Once your General Assembly has approved a process for creating the By-Laws, such as to delegate to the Board, the rules can be developed and approved and copied into a document in the form of the template. The owners association can then apply to RERA on the approved form to register the By-Laws</w:t>
      </w:r>
    </w:p>
    <w:p w:rsidR="00DA5DBA" w:rsidRDefault="00DA5DBA" w:rsidP="00DA5DBA">
      <w:pPr>
        <w:pStyle w:val="ListParagraph"/>
        <w:numPr>
          <w:ilvl w:val="0"/>
          <w:numId w:val="1"/>
        </w:numPr>
        <w:jc w:val="both"/>
        <w:rPr>
          <w:i/>
          <w:iCs/>
          <w:sz w:val="20"/>
          <w:szCs w:val="20"/>
        </w:rPr>
      </w:pPr>
      <w:r w:rsidRPr="008F04BE">
        <w:rPr>
          <w:b/>
          <w:bCs/>
          <w:i/>
          <w:iCs/>
          <w:sz w:val="20"/>
          <w:szCs w:val="20"/>
        </w:rPr>
        <w:t>By-laws should be numbered sequentially</w:t>
      </w:r>
      <w:r>
        <w:rPr>
          <w:i/>
          <w:iCs/>
          <w:sz w:val="20"/>
          <w:szCs w:val="20"/>
        </w:rPr>
        <w:t>. If one of the rows on the template is not required for a particular development, it should be omitted from the form.</w:t>
      </w:r>
    </w:p>
    <w:p w:rsidR="00DA5DBA" w:rsidRPr="00711F4D" w:rsidRDefault="00DA5DBA" w:rsidP="00DA5DBA">
      <w:pPr>
        <w:jc w:val="center"/>
        <w:rPr>
          <w:i/>
          <w:iCs/>
          <w:sz w:val="20"/>
          <w:szCs w:val="20"/>
        </w:rPr>
      </w:pPr>
      <w:r w:rsidRPr="00711F4D">
        <w:rPr>
          <w:b/>
          <w:bCs/>
          <w:i/>
          <w:iCs/>
          <w:sz w:val="20"/>
          <w:szCs w:val="20"/>
        </w:rPr>
        <w:t>***********</w:t>
      </w:r>
    </w:p>
    <w:p w:rsidR="00DA5DBA" w:rsidRPr="00490CBA" w:rsidRDefault="00DA5DBA" w:rsidP="00DA5DBA">
      <w:pPr>
        <w:spacing w:after="0" w:line="240" w:lineRule="auto"/>
        <w:rPr>
          <w:rFonts w:ascii="Book Antiqua" w:eastAsia="Times New Roman" w:hAnsi="Book Antiqua" w:cs="Simplified Arabic"/>
          <w:b/>
          <w:sz w:val="24"/>
          <w:szCs w:val="24"/>
          <w:lang w:val="en-US"/>
        </w:rPr>
      </w:pPr>
    </w:p>
    <w:tbl>
      <w:tblPr>
        <w:tblW w:w="5000" w:type="pct"/>
        <w:jc w:val="center"/>
        <w:tblLook w:val="04A0" w:firstRow="1" w:lastRow="0" w:firstColumn="1" w:lastColumn="0" w:noHBand="0" w:noVBand="1"/>
      </w:tblPr>
      <w:tblGrid>
        <w:gridCol w:w="1264"/>
        <w:gridCol w:w="2262"/>
        <w:gridCol w:w="5490"/>
      </w:tblGrid>
      <w:tr w:rsidR="00DA5DBA" w:rsidRPr="00490CBA" w:rsidTr="009C1D51">
        <w:trPr>
          <w:trHeight w:val="511"/>
          <w:jc w:val="center"/>
        </w:trPr>
        <w:tc>
          <w:tcPr>
            <w:tcW w:w="35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5DBA" w:rsidRPr="00B03BA6" w:rsidRDefault="00DA5DBA" w:rsidP="009C1D51">
            <w:pPr>
              <w:spacing w:before="40" w:after="40" w:line="264" w:lineRule="auto"/>
              <w:rPr>
                <w:rFonts w:eastAsia="Calibri" w:cstheme="minorHAnsi"/>
                <w:b/>
                <w:bCs/>
                <w:sz w:val="20"/>
                <w:szCs w:val="20"/>
                <w:lang w:val="en-GB"/>
              </w:rPr>
            </w:pPr>
            <w:r w:rsidRPr="00B03BA6">
              <w:rPr>
                <w:rFonts w:eastAsia="Calibri" w:cstheme="minorHAnsi"/>
                <w:b/>
                <w:bCs/>
                <w:sz w:val="20"/>
                <w:szCs w:val="20"/>
                <w:lang w:val="en-GB"/>
              </w:rPr>
              <w:t>Name of Owners Association</w:t>
            </w:r>
          </w:p>
        </w:tc>
        <w:tc>
          <w:tcPr>
            <w:tcW w:w="5525" w:type="dxa"/>
            <w:tcBorders>
              <w:top w:val="single" w:sz="4" w:space="0" w:color="auto"/>
              <w:left w:val="single" w:sz="4" w:space="0" w:color="auto"/>
              <w:bottom w:val="single" w:sz="4" w:space="0" w:color="auto"/>
              <w:right w:val="single" w:sz="4" w:space="0" w:color="auto"/>
            </w:tcBorders>
            <w:shd w:val="clear" w:color="auto" w:fill="auto"/>
            <w:vAlign w:val="center"/>
          </w:tcPr>
          <w:p w:rsidR="00DA5DBA" w:rsidRPr="00B03BA6" w:rsidRDefault="00DA5DBA" w:rsidP="009C1D51">
            <w:pPr>
              <w:spacing w:before="40" w:after="40" w:line="264" w:lineRule="auto"/>
              <w:rPr>
                <w:rFonts w:eastAsia="Calibri" w:cstheme="minorHAnsi"/>
                <w:b/>
                <w:bCs/>
                <w:lang w:val="en-GB"/>
              </w:rPr>
            </w:pPr>
          </w:p>
        </w:tc>
      </w:tr>
      <w:tr w:rsidR="00DA5DBA" w:rsidRPr="00490CBA" w:rsidTr="009C1D51">
        <w:trPr>
          <w:trHeight w:val="508"/>
          <w:jc w:val="center"/>
        </w:trPr>
        <w:tc>
          <w:tcPr>
            <w:tcW w:w="35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5DBA" w:rsidRPr="00B03BA6" w:rsidRDefault="00DA5DBA" w:rsidP="009C1D51">
            <w:pPr>
              <w:spacing w:before="40" w:after="40" w:line="264" w:lineRule="auto"/>
              <w:rPr>
                <w:rFonts w:eastAsia="Calibri" w:cstheme="minorHAnsi"/>
                <w:b/>
                <w:bCs/>
                <w:sz w:val="20"/>
                <w:szCs w:val="20"/>
                <w:lang w:val="en-GB"/>
              </w:rPr>
            </w:pPr>
            <w:r w:rsidRPr="00B03BA6">
              <w:rPr>
                <w:rFonts w:eastAsia="Calibri" w:cstheme="minorHAnsi"/>
                <w:b/>
                <w:bCs/>
                <w:sz w:val="20"/>
                <w:szCs w:val="20"/>
                <w:lang w:val="en-GB"/>
              </w:rPr>
              <w:t>Title Deed reference for common area [if any]</w:t>
            </w:r>
          </w:p>
        </w:tc>
        <w:tc>
          <w:tcPr>
            <w:tcW w:w="5525" w:type="dxa"/>
            <w:tcBorders>
              <w:top w:val="single" w:sz="4" w:space="0" w:color="auto"/>
              <w:left w:val="single" w:sz="4" w:space="0" w:color="auto"/>
              <w:bottom w:val="single" w:sz="4" w:space="0" w:color="auto"/>
              <w:right w:val="single" w:sz="4" w:space="0" w:color="auto"/>
            </w:tcBorders>
            <w:shd w:val="clear" w:color="auto" w:fill="auto"/>
            <w:vAlign w:val="center"/>
          </w:tcPr>
          <w:p w:rsidR="00DA5DBA" w:rsidRPr="00B03BA6" w:rsidRDefault="00DA5DBA" w:rsidP="009C1D51">
            <w:pPr>
              <w:spacing w:before="40" w:after="40" w:line="264" w:lineRule="auto"/>
              <w:rPr>
                <w:rFonts w:eastAsia="Calibri" w:cstheme="minorHAnsi"/>
                <w:b/>
                <w:bCs/>
                <w:lang w:val="en-GB"/>
              </w:rPr>
            </w:pPr>
          </w:p>
        </w:tc>
      </w:tr>
      <w:tr w:rsidR="00DA5DBA" w:rsidRPr="00490CBA" w:rsidTr="009C1D51">
        <w:trPr>
          <w:trHeight w:val="508"/>
          <w:jc w:val="center"/>
        </w:trPr>
        <w:tc>
          <w:tcPr>
            <w:tcW w:w="35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5DBA" w:rsidRPr="00B03BA6" w:rsidRDefault="00DA5DBA" w:rsidP="009C1D51">
            <w:pPr>
              <w:spacing w:before="40" w:after="40" w:line="264" w:lineRule="auto"/>
              <w:rPr>
                <w:rFonts w:eastAsia="Calibri" w:cstheme="minorHAnsi"/>
                <w:b/>
                <w:bCs/>
                <w:sz w:val="20"/>
                <w:szCs w:val="20"/>
                <w:lang w:val="en-GB"/>
              </w:rPr>
            </w:pPr>
            <w:r w:rsidRPr="00B03BA6">
              <w:rPr>
                <w:rFonts w:eastAsia="Calibri" w:cstheme="minorHAnsi"/>
                <w:b/>
                <w:bCs/>
                <w:sz w:val="20"/>
                <w:szCs w:val="20"/>
                <w:lang w:val="en-GB"/>
              </w:rPr>
              <w:t>Name of Registered owner [if no owner association]</w:t>
            </w:r>
          </w:p>
        </w:tc>
        <w:tc>
          <w:tcPr>
            <w:tcW w:w="5525" w:type="dxa"/>
            <w:tcBorders>
              <w:top w:val="single" w:sz="4" w:space="0" w:color="auto"/>
              <w:left w:val="single" w:sz="4" w:space="0" w:color="auto"/>
              <w:bottom w:val="single" w:sz="4" w:space="0" w:color="auto"/>
              <w:right w:val="single" w:sz="4" w:space="0" w:color="auto"/>
            </w:tcBorders>
            <w:shd w:val="clear" w:color="auto" w:fill="auto"/>
            <w:vAlign w:val="center"/>
          </w:tcPr>
          <w:p w:rsidR="00DA5DBA" w:rsidRPr="00B03BA6" w:rsidRDefault="00DA5DBA" w:rsidP="009C1D51">
            <w:pPr>
              <w:spacing w:before="40" w:after="40" w:line="264" w:lineRule="auto"/>
              <w:rPr>
                <w:rFonts w:eastAsia="Calibri" w:cstheme="minorHAnsi"/>
                <w:b/>
                <w:bCs/>
                <w:lang w:val="en-GB"/>
              </w:rPr>
            </w:pPr>
          </w:p>
        </w:tc>
      </w:tr>
      <w:tr w:rsidR="00DA5DBA" w:rsidRPr="00490CBA" w:rsidTr="009C1D51">
        <w:trPr>
          <w:trHeight w:val="508"/>
          <w:jc w:val="center"/>
        </w:trPr>
        <w:tc>
          <w:tcPr>
            <w:tcW w:w="35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5DBA" w:rsidRPr="00B03BA6" w:rsidRDefault="00DA5DBA" w:rsidP="009C1D51">
            <w:pPr>
              <w:spacing w:before="40" w:after="40" w:line="264" w:lineRule="auto"/>
              <w:rPr>
                <w:rFonts w:eastAsia="Calibri" w:cstheme="minorHAnsi"/>
                <w:b/>
                <w:bCs/>
                <w:sz w:val="20"/>
                <w:szCs w:val="20"/>
                <w:lang w:val="en-GB"/>
              </w:rPr>
            </w:pPr>
            <w:r w:rsidRPr="00B03BA6">
              <w:rPr>
                <w:rFonts w:eastAsia="Calibri" w:cstheme="minorHAnsi"/>
                <w:b/>
                <w:bCs/>
                <w:sz w:val="20"/>
                <w:szCs w:val="20"/>
                <w:lang w:val="en-GB"/>
              </w:rPr>
              <w:t>Title Deed of owner divided by Joint Property</w:t>
            </w:r>
          </w:p>
        </w:tc>
        <w:tc>
          <w:tcPr>
            <w:tcW w:w="5525" w:type="dxa"/>
            <w:tcBorders>
              <w:top w:val="single" w:sz="4" w:space="0" w:color="auto"/>
              <w:left w:val="single" w:sz="4" w:space="0" w:color="auto"/>
              <w:bottom w:val="single" w:sz="4" w:space="0" w:color="auto"/>
              <w:right w:val="single" w:sz="4" w:space="0" w:color="auto"/>
            </w:tcBorders>
            <w:shd w:val="clear" w:color="auto" w:fill="auto"/>
            <w:vAlign w:val="center"/>
          </w:tcPr>
          <w:p w:rsidR="00DA5DBA" w:rsidRPr="00B03BA6" w:rsidRDefault="00DA5DBA" w:rsidP="009C1D51">
            <w:pPr>
              <w:spacing w:before="40" w:after="40" w:line="264" w:lineRule="auto"/>
              <w:rPr>
                <w:rFonts w:eastAsia="Calibri" w:cstheme="minorHAnsi"/>
                <w:b/>
                <w:bCs/>
                <w:lang w:val="en-GB"/>
              </w:rPr>
            </w:pPr>
          </w:p>
        </w:tc>
      </w:tr>
      <w:tr w:rsidR="00DA5DBA" w:rsidRPr="00490CBA" w:rsidTr="009C1D51">
        <w:trPr>
          <w:trHeight w:val="369"/>
          <w:jc w:val="center"/>
        </w:trPr>
        <w:tc>
          <w:tcPr>
            <w:tcW w:w="1271" w:type="dxa"/>
            <w:shd w:val="clear" w:color="auto" w:fill="D9D9D9" w:themeFill="background1" w:themeFillShade="D9"/>
          </w:tcPr>
          <w:p w:rsidR="00DA5DBA" w:rsidRPr="00B03BA6" w:rsidRDefault="00DA5DBA" w:rsidP="009C1D51">
            <w:pPr>
              <w:spacing w:before="40" w:after="40" w:line="264" w:lineRule="auto"/>
              <w:jc w:val="center"/>
              <w:rPr>
                <w:rFonts w:eastAsia="Calibri" w:cstheme="minorHAnsi"/>
                <w:b/>
                <w:bCs/>
                <w:lang w:val="en-GB"/>
              </w:rPr>
            </w:pPr>
            <w:r w:rsidRPr="00B03BA6">
              <w:rPr>
                <w:rFonts w:eastAsia="Calibri" w:cstheme="minorHAnsi"/>
                <w:b/>
                <w:bCs/>
                <w:lang w:val="en-GB"/>
              </w:rPr>
              <w:br w:type="page"/>
              <w:t>Item</w:t>
            </w:r>
          </w:p>
        </w:tc>
        <w:tc>
          <w:tcPr>
            <w:tcW w:w="2271" w:type="dxa"/>
            <w:shd w:val="clear" w:color="auto" w:fill="D9D9D9" w:themeFill="background1" w:themeFillShade="D9"/>
          </w:tcPr>
          <w:p w:rsidR="00DA5DBA" w:rsidRPr="00B03BA6" w:rsidRDefault="00DA5DBA" w:rsidP="009C1D51">
            <w:pPr>
              <w:spacing w:before="40" w:after="40" w:line="264" w:lineRule="auto"/>
              <w:jc w:val="center"/>
              <w:rPr>
                <w:rFonts w:eastAsia="Calibri" w:cstheme="minorHAnsi"/>
                <w:b/>
                <w:bCs/>
                <w:lang w:val="en-GB"/>
              </w:rPr>
            </w:pPr>
            <w:r w:rsidRPr="00B03BA6">
              <w:rPr>
                <w:rFonts w:eastAsia="Calibri" w:cstheme="minorHAnsi"/>
                <w:b/>
                <w:bCs/>
                <w:lang w:val="en-GB"/>
              </w:rPr>
              <w:t>Subject</w:t>
            </w:r>
          </w:p>
        </w:tc>
        <w:tc>
          <w:tcPr>
            <w:tcW w:w="5525" w:type="dxa"/>
            <w:shd w:val="clear" w:color="auto" w:fill="D9D9D9" w:themeFill="background1" w:themeFillShade="D9"/>
          </w:tcPr>
          <w:p w:rsidR="00DA5DBA" w:rsidRPr="00B03BA6" w:rsidRDefault="00DA5DBA" w:rsidP="009C1D51">
            <w:pPr>
              <w:spacing w:before="40" w:after="40" w:line="264" w:lineRule="auto"/>
              <w:rPr>
                <w:rFonts w:eastAsia="Calibri" w:cstheme="minorHAnsi"/>
                <w:b/>
                <w:bCs/>
                <w:lang w:val="en-GB"/>
              </w:rPr>
            </w:pPr>
            <w:r w:rsidRPr="00B03BA6">
              <w:rPr>
                <w:rFonts w:eastAsia="Calibri" w:cstheme="minorHAnsi"/>
                <w:b/>
                <w:bCs/>
                <w:lang w:val="en-GB"/>
              </w:rPr>
              <w:t>Content</w:t>
            </w:r>
            <w:r w:rsidRPr="00B03BA6">
              <w:rPr>
                <w:rStyle w:val="FootnoteReference"/>
                <w:rFonts w:eastAsia="Calibri" w:cstheme="minorHAnsi"/>
                <w:b/>
                <w:bCs/>
                <w:lang w:val="en-GB"/>
              </w:rPr>
              <w:footnoteReference w:id="1"/>
            </w:r>
          </w:p>
        </w:tc>
      </w:tr>
      <w:tr w:rsidR="00DA5DBA" w:rsidRPr="00490CBA" w:rsidTr="009C1D51">
        <w:trPr>
          <w:jc w:val="center"/>
        </w:trPr>
        <w:tc>
          <w:tcPr>
            <w:tcW w:w="9067" w:type="dxa"/>
            <w:gridSpan w:val="3"/>
            <w:shd w:val="clear" w:color="auto" w:fill="BFBFBF"/>
          </w:tcPr>
          <w:p w:rsidR="00DA5DBA" w:rsidRPr="00B03BA6" w:rsidRDefault="00DA5DBA" w:rsidP="009C1D51">
            <w:pPr>
              <w:spacing w:before="40" w:after="40" w:line="264" w:lineRule="auto"/>
              <w:rPr>
                <w:rFonts w:eastAsia="Calibri" w:cstheme="minorHAnsi"/>
                <w:b/>
                <w:bCs/>
                <w:lang w:val="en-GB"/>
              </w:rPr>
            </w:pPr>
            <w:r w:rsidRPr="00B03BA6">
              <w:rPr>
                <w:rFonts w:eastAsia="Calibri" w:cstheme="minorHAnsi"/>
                <w:b/>
                <w:bCs/>
                <w:color w:val="5B9BD5" w:themeColor="accent1"/>
                <w:lang w:val="en-GB"/>
              </w:rPr>
              <w:t>PART 1 – By-Laws for Initiating the Joint Property</w:t>
            </w:r>
          </w:p>
        </w:tc>
      </w:tr>
      <w:tr w:rsidR="00DA5DBA" w:rsidRPr="00490CBA" w:rsidTr="009C1D51">
        <w:trPr>
          <w:jc w:val="center"/>
        </w:trPr>
        <w:tc>
          <w:tcPr>
            <w:tcW w:w="1271" w:type="dxa"/>
            <w:shd w:val="clear" w:color="auto" w:fill="auto"/>
          </w:tcPr>
          <w:p w:rsidR="00DA5DBA" w:rsidRPr="00B03BA6" w:rsidRDefault="00DA5DBA" w:rsidP="009C1D51">
            <w:pPr>
              <w:spacing w:before="40" w:after="40" w:line="264" w:lineRule="auto"/>
              <w:rPr>
                <w:rFonts w:eastAsia="Calibri" w:cstheme="minorHAnsi"/>
                <w:b/>
                <w:bCs/>
                <w:sz w:val="20"/>
                <w:szCs w:val="20"/>
                <w:lang w:val="en-GB"/>
              </w:rPr>
            </w:pPr>
            <w:r w:rsidRPr="00B03BA6">
              <w:rPr>
                <w:rFonts w:eastAsia="Calibri" w:cstheme="minorHAnsi"/>
                <w:b/>
                <w:bCs/>
                <w:sz w:val="20"/>
                <w:szCs w:val="20"/>
              </w:rPr>
              <w:t>By-Law 1.1</w:t>
            </w:r>
          </w:p>
        </w:tc>
        <w:tc>
          <w:tcPr>
            <w:tcW w:w="2271" w:type="dxa"/>
            <w:shd w:val="clear" w:color="auto" w:fill="auto"/>
          </w:tcPr>
          <w:p w:rsidR="00DA5DBA" w:rsidRPr="00B03BA6" w:rsidRDefault="00DA5DBA" w:rsidP="009C1D51">
            <w:pPr>
              <w:spacing w:before="40" w:after="40" w:line="264" w:lineRule="auto"/>
              <w:rPr>
                <w:rFonts w:eastAsia="Calibri" w:cstheme="minorHAnsi"/>
                <w:b/>
                <w:bCs/>
                <w:sz w:val="20"/>
                <w:szCs w:val="20"/>
                <w:lang w:val="en-GB"/>
              </w:rPr>
            </w:pPr>
            <w:r w:rsidRPr="00B03BA6">
              <w:rPr>
                <w:rFonts w:eastAsia="Calibri" w:cstheme="minorHAnsi"/>
                <w:b/>
                <w:bCs/>
                <w:sz w:val="20"/>
                <w:szCs w:val="20"/>
                <w:lang w:val="en-GB"/>
              </w:rPr>
              <w:t>Table of areas and Unit Entitlements</w:t>
            </w:r>
          </w:p>
        </w:tc>
        <w:tc>
          <w:tcPr>
            <w:tcW w:w="5525" w:type="dxa"/>
            <w:shd w:val="clear" w:color="auto" w:fill="auto"/>
          </w:tcPr>
          <w:p w:rsidR="00DA5DBA" w:rsidRPr="00B03BA6" w:rsidRDefault="00DA5DBA" w:rsidP="009C1D51">
            <w:pPr>
              <w:spacing w:before="40" w:after="40" w:line="264" w:lineRule="auto"/>
              <w:rPr>
                <w:rFonts w:eastAsia="Calibri" w:cstheme="minorHAnsi"/>
                <w:i/>
                <w:iCs/>
                <w:sz w:val="20"/>
                <w:szCs w:val="20"/>
                <w:lang w:val="en-GB"/>
              </w:rPr>
            </w:pPr>
            <w:r w:rsidRPr="00B03BA6">
              <w:rPr>
                <w:rFonts w:eastAsia="Calibri" w:cstheme="minorHAnsi"/>
                <w:i/>
                <w:iCs/>
                <w:sz w:val="20"/>
                <w:szCs w:val="20"/>
                <w:lang w:val="en-GB"/>
              </w:rPr>
              <w:t>[Attach a table setting out (i) a list of all units, (ii) the area of the units, (iii) the Entitlements related to such Units and any Accessory Units allocated to principal Units].</w:t>
            </w:r>
          </w:p>
        </w:tc>
      </w:tr>
      <w:tr w:rsidR="00DA5DBA" w:rsidRPr="00490CBA" w:rsidTr="009C1D51">
        <w:trPr>
          <w:jc w:val="center"/>
        </w:trPr>
        <w:tc>
          <w:tcPr>
            <w:tcW w:w="1271" w:type="dxa"/>
            <w:shd w:val="clear" w:color="auto" w:fill="auto"/>
          </w:tcPr>
          <w:p w:rsidR="00DA5DBA" w:rsidRPr="00B03BA6" w:rsidRDefault="00DA5DBA" w:rsidP="009C1D51">
            <w:pPr>
              <w:spacing w:before="40" w:after="40" w:line="264" w:lineRule="auto"/>
              <w:rPr>
                <w:rFonts w:eastAsia="Calibri" w:cstheme="minorHAnsi"/>
                <w:b/>
                <w:bCs/>
                <w:sz w:val="20"/>
                <w:szCs w:val="20"/>
                <w:lang w:val="en-GB"/>
              </w:rPr>
            </w:pPr>
            <w:r w:rsidRPr="00B03BA6">
              <w:rPr>
                <w:rFonts w:eastAsia="Calibri" w:cstheme="minorHAnsi"/>
                <w:b/>
                <w:bCs/>
                <w:sz w:val="20"/>
                <w:szCs w:val="20"/>
                <w:lang w:val="en-GB"/>
              </w:rPr>
              <w:t>By-Law 1. 2</w:t>
            </w:r>
          </w:p>
        </w:tc>
        <w:tc>
          <w:tcPr>
            <w:tcW w:w="2271" w:type="dxa"/>
            <w:shd w:val="clear" w:color="auto" w:fill="auto"/>
          </w:tcPr>
          <w:p w:rsidR="00DA5DBA" w:rsidRPr="00B03BA6" w:rsidRDefault="00DA5DBA" w:rsidP="009C1D51">
            <w:pPr>
              <w:spacing w:before="40" w:after="40" w:line="264" w:lineRule="auto"/>
              <w:rPr>
                <w:rFonts w:eastAsia="Calibri" w:cstheme="minorHAnsi"/>
                <w:b/>
                <w:bCs/>
                <w:sz w:val="20"/>
                <w:szCs w:val="20"/>
                <w:lang w:val="en-GB"/>
              </w:rPr>
            </w:pPr>
            <w:r w:rsidRPr="00B03BA6">
              <w:rPr>
                <w:rFonts w:eastAsia="Calibri" w:cstheme="minorHAnsi"/>
                <w:b/>
                <w:bCs/>
                <w:sz w:val="20"/>
                <w:szCs w:val="20"/>
                <w:lang w:val="en-GB"/>
              </w:rPr>
              <w:t>Description of method of Calculation of area of units</w:t>
            </w:r>
          </w:p>
        </w:tc>
        <w:tc>
          <w:tcPr>
            <w:tcW w:w="5525" w:type="dxa"/>
            <w:shd w:val="clear" w:color="auto" w:fill="auto"/>
          </w:tcPr>
          <w:p w:rsidR="00DA5DBA" w:rsidRPr="00B03BA6" w:rsidRDefault="00DA5DBA" w:rsidP="009C1D51">
            <w:pPr>
              <w:spacing w:before="40" w:after="40" w:line="264" w:lineRule="auto"/>
              <w:rPr>
                <w:rFonts w:eastAsia="Calibri" w:cstheme="minorHAnsi"/>
                <w:i/>
                <w:iCs/>
                <w:sz w:val="20"/>
                <w:szCs w:val="20"/>
                <w:lang w:val="en-GB"/>
              </w:rPr>
            </w:pPr>
            <w:r w:rsidRPr="00B03BA6">
              <w:rPr>
                <w:rFonts w:eastAsia="Calibri" w:cstheme="minorHAnsi"/>
                <w:i/>
                <w:iCs/>
                <w:sz w:val="20"/>
                <w:szCs w:val="20"/>
                <w:lang w:val="en-GB"/>
              </w:rPr>
              <w:t>[Insert a description of how the area was arrived at, what was measured and included in the calculation and what was omitted]</w:t>
            </w:r>
          </w:p>
        </w:tc>
      </w:tr>
      <w:tr w:rsidR="00DA5DBA" w:rsidRPr="00490CBA" w:rsidTr="009C1D51">
        <w:trPr>
          <w:jc w:val="center"/>
        </w:trPr>
        <w:tc>
          <w:tcPr>
            <w:tcW w:w="1271" w:type="dxa"/>
            <w:shd w:val="clear" w:color="auto" w:fill="auto"/>
          </w:tcPr>
          <w:p w:rsidR="00DA5DBA" w:rsidRPr="00B03BA6" w:rsidRDefault="00DA5DBA" w:rsidP="009C1D51">
            <w:pPr>
              <w:spacing w:before="40" w:after="40" w:line="264" w:lineRule="auto"/>
              <w:rPr>
                <w:rFonts w:eastAsia="Calibri" w:cstheme="minorHAnsi"/>
                <w:b/>
                <w:bCs/>
                <w:sz w:val="20"/>
                <w:szCs w:val="20"/>
                <w:lang w:val="en-GB"/>
              </w:rPr>
            </w:pPr>
            <w:r w:rsidRPr="00B03BA6">
              <w:rPr>
                <w:rFonts w:eastAsia="Calibri" w:cstheme="minorHAnsi"/>
                <w:b/>
                <w:bCs/>
                <w:sz w:val="20"/>
                <w:szCs w:val="20"/>
                <w:lang w:val="en-GB"/>
              </w:rPr>
              <w:t>By-Law 1.3</w:t>
            </w:r>
          </w:p>
        </w:tc>
        <w:tc>
          <w:tcPr>
            <w:tcW w:w="2271" w:type="dxa"/>
            <w:shd w:val="clear" w:color="auto" w:fill="auto"/>
          </w:tcPr>
          <w:p w:rsidR="00DA5DBA" w:rsidRPr="00B03BA6" w:rsidRDefault="00DA5DBA" w:rsidP="009C1D51">
            <w:pPr>
              <w:spacing w:before="40" w:after="40" w:line="264" w:lineRule="auto"/>
              <w:rPr>
                <w:rFonts w:eastAsia="Calibri" w:cstheme="minorHAnsi"/>
                <w:b/>
                <w:bCs/>
                <w:sz w:val="20"/>
                <w:szCs w:val="20"/>
                <w:lang w:val="en-GB"/>
              </w:rPr>
            </w:pPr>
            <w:r w:rsidRPr="00B03BA6">
              <w:rPr>
                <w:rFonts w:eastAsia="Calibri" w:cstheme="minorHAnsi"/>
                <w:b/>
                <w:bCs/>
                <w:sz w:val="20"/>
                <w:szCs w:val="20"/>
                <w:lang w:val="en-GB"/>
              </w:rPr>
              <w:t>Description of method of Calculation of Entitlement of units</w:t>
            </w:r>
          </w:p>
        </w:tc>
        <w:tc>
          <w:tcPr>
            <w:tcW w:w="5525" w:type="dxa"/>
            <w:shd w:val="clear" w:color="auto" w:fill="auto"/>
          </w:tcPr>
          <w:p w:rsidR="00DA5DBA" w:rsidRPr="00B03BA6" w:rsidRDefault="00DA5DBA" w:rsidP="009C1D51">
            <w:pPr>
              <w:spacing w:before="40" w:after="40" w:line="264" w:lineRule="auto"/>
              <w:rPr>
                <w:rFonts w:eastAsia="Calibri" w:cstheme="minorHAnsi"/>
                <w:i/>
                <w:iCs/>
                <w:sz w:val="20"/>
                <w:szCs w:val="20"/>
                <w:lang w:val="en-GB"/>
              </w:rPr>
            </w:pPr>
            <w:r w:rsidRPr="00B03BA6">
              <w:rPr>
                <w:rFonts w:eastAsia="Calibri" w:cstheme="minorHAnsi"/>
                <w:i/>
                <w:iCs/>
                <w:sz w:val="20"/>
                <w:szCs w:val="20"/>
                <w:lang w:val="en-GB"/>
              </w:rPr>
              <w:t>[Insert a description of how Entitlements are calculated, taking into consideration the factors set out in the Law].</w:t>
            </w:r>
          </w:p>
        </w:tc>
      </w:tr>
      <w:tr w:rsidR="00DA5DBA" w:rsidRPr="00490CBA" w:rsidTr="009C1D51">
        <w:trPr>
          <w:jc w:val="center"/>
        </w:trPr>
        <w:tc>
          <w:tcPr>
            <w:tcW w:w="1271" w:type="dxa"/>
            <w:shd w:val="clear" w:color="auto" w:fill="auto"/>
          </w:tcPr>
          <w:p w:rsidR="00DA5DBA" w:rsidRPr="00B03BA6" w:rsidRDefault="00DA5DBA" w:rsidP="009C1D51">
            <w:pPr>
              <w:spacing w:before="40" w:after="40" w:line="264" w:lineRule="auto"/>
              <w:rPr>
                <w:rFonts w:eastAsia="Calibri" w:cstheme="minorHAnsi"/>
                <w:b/>
                <w:bCs/>
                <w:sz w:val="20"/>
                <w:szCs w:val="20"/>
                <w:lang w:val="en-GB"/>
              </w:rPr>
            </w:pPr>
            <w:r w:rsidRPr="00B03BA6">
              <w:rPr>
                <w:rFonts w:eastAsia="Calibri" w:cstheme="minorHAnsi"/>
                <w:b/>
                <w:bCs/>
                <w:sz w:val="20"/>
                <w:szCs w:val="20"/>
                <w:lang w:val="en-GB"/>
              </w:rPr>
              <w:t>By-Law 1.4</w:t>
            </w:r>
          </w:p>
        </w:tc>
        <w:tc>
          <w:tcPr>
            <w:tcW w:w="2271" w:type="dxa"/>
            <w:shd w:val="clear" w:color="auto" w:fill="auto"/>
          </w:tcPr>
          <w:p w:rsidR="00DA5DBA" w:rsidRPr="00B03BA6" w:rsidRDefault="00DA5DBA" w:rsidP="009C1D51">
            <w:pPr>
              <w:spacing w:before="40" w:after="40" w:line="264" w:lineRule="auto"/>
              <w:rPr>
                <w:rFonts w:eastAsia="Calibri" w:cstheme="minorHAnsi"/>
                <w:b/>
                <w:bCs/>
                <w:sz w:val="20"/>
                <w:szCs w:val="20"/>
                <w:lang w:val="en-GB"/>
              </w:rPr>
            </w:pPr>
            <w:r w:rsidRPr="00B03BA6">
              <w:rPr>
                <w:rFonts w:eastAsia="Calibri" w:cstheme="minorHAnsi"/>
                <w:b/>
                <w:bCs/>
                <w:sz w:val="20"/>
                <w:szCs w:val="20"/>
                <w:lang w:val="en-GB"/>
              </w:rPr>
              <w:t>Supply of Utility Services</w:t>
            </w:r>
          </w:p>
        </w:tc>
        <w:tc>
          <w:tcPr>
            <w:tcW w:w="5525" w:type="dxa"/>
            <w:shd w:val="clear" w:color="auto" w:fill="auto"/>
          </w:tcPr>
          <w:p w:rsidR="00DA5DBA" w:rsidRPr="00B03BA6" w:rsidRDefault="00DA5DBA" w:rsidP="009C1D51">
            <w:pPr>
              <w:spacing w:before="40" w:after="40" w:line="264" w:lineRule="auto"/>
              <w:rPr>
                <w:rFonts w:eastAsia="Calibri" w:cstheme="minorHAnsi"/>
                <w:i/>
                <w:iCs/>
                <w:sz w:val="20"/>
                <w:szCs w:val="20"/>
                <w:lang w:val="en-GB"/>
              </w:rPr>
            </w:pPr>
            <w:r w:rsidRPr="00B03BA6">
              <w:rPr>
                <w:rFonts w:eastAsia="Calibri" w:cstheme="minorHAnsi"/>
                <w:i/>
                <w:iCs/>
                <w:sz w:val="20"/>
                <w:szCs w:val="20"/>
                <w:lang w:val="en-GB"/>
              </w:rPr>
              <w:t>[Insert a summary of all Utility Services supply arrangements including metering and billing arrangements where relevant]</w:t>
            </w:r>
          </w:p>
        </w:tc>
      </w:tr>
      <w:tr w:rsidR="00DA5DBA" w:rsidRPr="00490CBA" w:rsidTr="009C1D51">
        <w:trPr>
          <w:jc w:val="center"/>
        </w:trPr>
        <w:tc>
          <w:tcPr>
            <w:tcW w:w="1271" w:type="dxa"/>
            <w:shd w:val="clear" w:color="auto" w:fill="auto"/>
          </w:tcPr>
          <w:p w:rsidR="00DA5DBA" w:rsidRPr="00B03BA6" w:rsidRDefault="00DA5DBA" w:rsidP="009C1D51">
            <w:pPr>
              <w:spacing w:before="40" w:after="40" w:line="264" w:lineRule="auto"/>
              <w:rPr>
                <w:rFonts w:eastAsia="Calibri" w:cstheme="minorHAnsi"/>
                <w:b/>
                <w:bCs/>
                <w:sz w:val="20"/>
                <w:szCs w:val="20"/>
                <w:lang w:val="en-GB"/>
              </w:rPr>
            </w:pPr>
            <w:r w:rsidRPr="00B03BA6">
              <w:rPr>
                <w:rFonts w:eastAsia="Calibri" w:cstheme="minorHAnsi"/>
                <w:b/>
                <w:bCs/>
                <w:sz w:val="20"/>
                <w:szCs w:val="20"/>
                <w:lang w:val="en-GB"/>
              </w:rPr>
              <w:t>By-Law 1.5</w:t>
            </w:r>
          </w:p>
        </w:tc>
        <w:tc>
          <w:tcPr>
            <w:tcW w:w="2271" w:type="dxa"/>
            <w:shd w:val="clear" w:color="auto" w:fill="auto"/>
          </w:tcPr>
          <w:p w:rsidR="00DA5DBA" w:rsidRPr="00B03BA6" w:rsidRDefault="00DA5DBA" w:rsidP="009C1D51">
            <w:pPr>
              <w:spacing w:before="40" w:after="40" w:line="264" w:lineRule="auto"/>
              <w:rPr>
                <w:rFonts w:eastAsia="Calibri" w:cstheme="minorHAnsi"/>
                <w:b/>
                <w:bCs/>
                <w:sz w:val="20"/>
                <w:szCs w:val="20"/>
                <w:lang w:val="en-GB"/>
              </w:rPr>
            </w:pPr>
            <w:r w:rsidRPr="00B03BA6">
              <w:rPr>
                <w:rFonts w:eastAsia="Calibri" w:cstheme="minorHAnsi"/>
                <w:b/>
                <w:bCs/>
                <w:sz w:val="20"/>
                <w:szCs w:val="20"/>
                <w:lang w:val="en-GB"/>
              </w:rPr>
              <w:t>Exclusive Use Areas</w:t>
            </w:r>
          </w:p>
        </w:tc>
        <w:tc>
          <w:tcPr>
            <w:tcW w:w="5525" w:type="dxa"/>
            <w:shd w:val="clear" w:color="auto" w:fill="auto"/>
          </w:tcPr>
          <w:p w:rsidR="00DA5DBA" w:rsidRPr="00B03BA6" w:rsidRDefault="00DA5DBA" w:rsidP="009C1D51">
            <w:pPr>
              <w:spacing w:before="40" w:after="40" w:line="264" w:lineRule="auto"/>
              <w:rPr>
                <w:rFonts w:eastAsia="Calibri" w:cstheme="minorHAnsi"/>
                <w:i/>
                <w:iCs/>
                <w:sz w:val="20"/>
                <w:szCs w:val="20"/>
                <w:lang w:val="en-GB"/>
              </w:rPr>
            </w:pPr>
            <w:r w:rsidRPr="00B03BA6">
              <w:rPr>
                <w:rFonts w:eastAsia="Calibri" w:cstheme="minorHAnsi"/>
                <w:i/>
                <w:iCs/>
                <w:sz w:val="20"/>
                <w:szCs w:val="20"/>
                <w:lang w:val="en-GB"/>
              </w:rPr>
              <w:t>[Having regard to the Property Location Plan, define any rights and obligations of parties having the benefit of Exclusive Use Areas. If such areas are not shown on plans, describe the areas and set down the parties’ rights and obligations].</w:t>
            </w:r>
          </w:p>
        </w:tc>
      </w:tr>
      <w:tr w:rsidR="00DA5DBA" w:rsidRPr="00490CBA" w:rsidTr="009C1D51">
        <w:trPr>
          <w:jc w:val="center"/>
        </w:trPr>
        <w:tc>
          <w:tcPr>
            <w:tcW w:w="1271" w:type="dxa"/>
            <w:shd w:val="clear" w:color="auto" w:fill="auto"/>
          </w:tcPr>
          <w:p w:rsidR="00DA5DBA" w:rsidRPr="00B03BA6" w:rsidRDefault="00DA5DBA" w:rsidP="009C1D51">
            <w:pPr>
              <w:spacing w:before="40" w:after="40" w:line="264" w:lineRule="auto"/>
              <w:rPr>
                <w:rFonts w:eastAsia="Calibri" w:cstheme="minorHAnsi"/>
                <w:b/>
                <w:bCs/>
                <w:sz w:val="20"/>
                <w:szCs w:val="20"/>
                <w:lang w:val="en-GB"/>
              </w:rPr>
            </w:pPr>
            <w:r w:rsidRPr="00B03BA6">
              <w:rPr>
                <w:rFonts w:eastAsia="Calibri" w:cstheme="minorHAnsi"/>
                <w:b/>
                <w:bCs/>
                <w:sz w:val="20"/>
                <w:szCs w:val="20"/>
                <w:lang w:val="en-GB"/>
              </w:rPr>
              <w:lastRenderedPageBreak/>
              <w:t>By-Law 1.6</w:t>
            </w:r>
          </w:p>
        </w:tc>
        <w:tc>
          <w:tcPr>
            <w:tcW w:w="2271" w:type="dxa"/>
            <w:shd w:val="clear" w:color="auto" w:fill="auto"/>
          </w:tcPr>
          <w:p w:rsidR="00DA5DBA" w:rsidRPr="00B03BA6" w:rsidRDefault="00DA5DBA" w:rsidP="009C1D51">
            <w:pPr>
              <w:spacing w:before="40" w:after="40" w:line="264" w:lineRule="auto"/>
              <w:rPr>
                <w:rFonts w:eastAsia="Calibri" w:cstheme="minorHAnsi"/>
                <w:b/>
                <w:bCs/>
                <w:sz w:val="20"/>
                <w:szCs w:val="20"/>
                <w:lang w:val="en-GB"/>
              </w:rPr>
            </w:pPr>
            <w:r w:rsidRPr="00B03BA6">
              <w:rPr>
                <w:rFonts w:eastAsia="Calibri" w:cstheme="minorHAnsi"/>
                <w:b/>
                <w:bCs/>
                <w:sz w:val="20"/>
                <w:szCs w:val="20"/>
                <w:lang w:val="en-GB"/>
              </w:rPr>
              <w:t>Parking for units</w:t>
            </w:r>
          </w:p>
        </w:tc>
        <w:tc>
          <w:tcPr>
            <w:tcW w:w="5525" w:type="dxa"/>
            <w:shd w:val="clear" w:color="auto" w:fill="auto"/>
          </w:tcPr>
          <w:p w:rsidR="00DA5DBA" w:rsidRPr="00B03BA6" w:rsidRDefault="00DA5DBA" w:rsidP="009C1D51">
            <w:pPr>
              <w:spacing w:before="40" w:after="40" w:line="264" w:lineRule="auto"/>
              <w:rPr>
                <w:rFonts w:eastAsia="Calibri" w:cstheme="minorHAnsi"/>
                <w:i/>
                <w:iCs/>
                <w:sz w:val="20"/>
                <w:szCs w:val="20"/>
                <w:lang w:val="en-GB"/>
              </w:rPr>
            </w:pPr>
            <w:r w:rsidRPr="00B03BA6">
              <w:rPr>
                <w:rFonts w:eastAsia="Calibri" w:cstheme="minorHAnsi"/>
                <w:i/>
                <w:iCs/>
                <w:sz w:val="20"/>
                <w:szCs w:val="20"/>
                <w:lang w:val="en-GB"/>
              </w:rPr>
              <w:t xml:space="preserve">[Specify the parking arrangements for units, for visitors and for the public visiting commercial areas. This should record if parking bays are owned as part of the title deed or are common areas with exclusive use rights. </w:t>
            </w:r>
          </w:p>
          <w:p w:rsidR="00DA5DBA" w:rsidRPr="00B03BA6" w:rsidRDefault="00DA5DBA" w:rsidP="009C1D51">
            <w:pPr>
              <w:spacing w:before="40" w:after="40" w:line="264" w:lineRule="auto"/>
              <w:rPr>
                <w:rFonts w:eastAsia="Calibri" w:cstheme="minorHAnsi"/>
                <w:i/>
                <w:iCs/>
                <w:sz w:val="20"/>
                <w:szCs w:val="20"/>
                <w:lang w:val="en-GB"/>
              </w:rPr>
            </w:pPr>
            <w:r w:rsidRPr="00B03BA6">
              <w:rPr>
                <w:rFonts w:eastAsia="Calibri" w:cstheme="minorHAnsi"/>
                <w:i/>
                <w:iCs/>
                <w:sz w:val="20"/>
                <w:szCs w:val="20"/>
                <w:lang w:val="en-GB"/>
              </w:rPr>
              <w:t>Specify the requirements of any authority for the minimum number of parking bays per residential and commercial unit etc]</w:t>
            </w:r>
          </w:p>
        </w:tc>
      </w:tr>
      <w:tr w:rsidR="00DA5DBA" w:rsidRPr="00490CBA" w:rsidTr="009C1D51">
        <w:trPr>
          <w:jc w:val="center"/>
        </w:trPr>
        <w:tc>
          <w:tcPr>
            <w:tcW w:w="1271" w:type="dxa"/>
            <w:shd w:val="clear" w:color="auto" w:fill="auto"/>
          </w:tcPr>
          <w:p w:rsidR="00DA5DBA" w:rsidRPr="00B03BA6" w:rsidRDefault="00DA5DBA" w:rsidP="009C1D51">
            <w:pPr>
              <w:spacing w:before="40" w:after="40" w:line="264" w:lineRule="auto"/>
              <w:rPr>
                <w:rFonts w:eastAsia="Calibri" w:cstheme="minorHAnsi"/>
                <w:b/>
                <w:bCs/>
                <w:sz w:val="20"/>
                <w:szCs w:val="20"/>
                <w:lang w:val="en-GB"/>
              </w:rPr>
            </w:pPr>
            <w:r w:rsidRPr="00B03BA6">
              <w:rPr>
                <w:rFonts w:eastAsia="Calibri" w:cstheme="minorHAnsi"/>
                <w:b/>
                <w:bCs/>
                <w:sz w:val="20"/>
                <w:szCs w:val="20"/>
                <w:lang w:val="en-GB"/>
              </w:rPr>
              <w:t>By-Law 1.7</w:t>
            </w:r>
          </w:p>
        </w:tc>
        <w:tc>
          <w:tcPr>
            <w:tcW w:w="2271" w:type="dxa"/>
            <w:shd w:val="clear" w:color="auto" w:fill="auto"/>
          </w:tcPr>
          <w:p w:rsidR="00DA5DBA" w:rsidRPr="00B03BA6" w:rsidRDefault="00DA5DBA" w:rsidP="009C1D51">
            <w:pPr>
              <w:spacing w:before="40" w:after="40" w:line="264" w:lineRule="auto"/>
              <w:rPr>
                <w:rFonts w:eastAsia="Calibri" w:cstheme="minorHAnsi"/>
                <w:b/>
                <w:bCs/>
                <w:sz w:val="20"/>
                <w:szCs w:val="20"/>
                <w:lang w:val="en-US"/>
              </w:rPr>
            </w:pPr>
            <w:r w:rsidRPr="00B03BA6">
              <w:rPr>
                <w:rFonts w:eastAsia="Calibri" w:cstheme="minorHAnsi"/>
                <w:b/>
                <w:bCs/>
                <w:sz w:val="20"/>
                <w:szCs w:val="20"/>
                <w:lang w:val="en-GB"/>
              </w:rPr>
              <w:t>Accessory Units</w:t>
            </w:r>
          </w:p>
        </w:tc>
        <w:tc>
          <w:tcPr>
            <w:tcW w:w="5525" w:type="dxa"/>
            <w:shd w:val="clear" w:color="auto" w:fill="auto"/>
          </w:tcPr>
          <w:p w:rsidR="00DA5DBA" w:rsidRPr="00B03BA6" w:rsidRDefault="00DA5DBA" w:rsidP="009C1D51">
            <w:pPr>
              <w:spacing w:before="40" w:after="40" w:line="264" w:lineRule="auto"/>
              <w:rPr>
                <w:rFonts w:eastAsia="Calibri" w:cstheme="minorHAnsi"/>
                <w:i/>
                <w:iCs/>
                <w:sz w:val="20"/>
                <w:szCs w:val="20"/>
                <w:lang w:val="en-GB"/>
              </w:rPr>
            </w:pPr>
            <w:r w:rsidRPr="00B03BA6">
              <w:rPr>
                <w:rFonts w:eastAsia="Calibri" w:cstheme="minorHAnsi"/>
                <w:i/>
                <w:iCs/>
                <w:sz w:val="20"/>
                <w:szCs w:val="20"/>
                <w:lang w:val="en-GB"/>
              </w:rPr>
              <w:t>[Specify the number and use of accessory units. Provided not contrary to the rules of the relevant authorities, set down the rules to apply regarding transferring Accessory Units]</w:t>
            </w:r>
          </w:p>
        </w:tc>
      </w:tr>
      <w:tr w:rsidR="00DA5DBA" w:rsidRPr="00490CBA" w:rsidTr="009C1D51">
        <w:trPr>
          <w:jc w:val="center"/>
        </w:trPr>
        <w:tc>
          <w:tcPr>
            <w:tcW w:w="1271" w:type="dxa"/>
            <w:shd w:val="clear" w:color="auto" w:fill="auto"/>
          </w:tcPr>
          <w:p w:rsidR="00DA5DBA" w:rsidRPr="00B03BA6" w:rsidRDefault="00DA5DBA" w:rsidP="009C1D51">
            <w:pPr>
              <w:spacing w:before="40" w:after="40" w:line="264" w:lineRule="auto"/>
              <w:rPr>
                <w:rFonts w:eastAsia="Calibri" w:cstheme="minorHAnsi"/>
                <w:b/>
                <w:bCs/>
                <w:sz w:val="20"/>
                <w:szCs w:val="20"/>
                <w:lang w:val="en-GB"/>
              </w:rPr>
            </w:pPr>
            <w:r w:rsidRPr="00B03BA6">
              <w:rPr>
                <w:rFonts w:eastAsia="Calibri" w:cstheme="minorHAnsi"/>
                <w:b/>
                <w:bCs/>
                <w:sz w:val="20"/>
                <w:szCs w:val="20"/>
                <w:lang w:val="en-GB"/>
              </w:rPr>
              <w:t>By-Law 1.8</w:t>
            </w:r>
          </w:p>
        </w:tc>
        <w:tc>
          <w:tcPr>
            <w:tcW w:w="2271" w:type="dxa"/>
            <w:shd w:val="clear" w:color="auto" w:fill="auto"/>
          </w:tcPr>
          <w:p w:rsidR="00DA5DBA" w:rsidRPr="00B03BA6" w:rsidRDefault="00DA5DBA" w:rsidP="009C1D51">
            <w:pPr>
              <w:spacing w:before="40" w:after="40" w:line="264" w:lineRule="auto"/>
              <w:rPr>
                <w:rFonts w:eastAsia="Calibri" w:cstheme="minorHAnsi"/>
                <w:b/>
                <w:bCs/>
                <w:sz w:val="20"/>
                <w:szCs w:val="20"/>
                <w:lang w:val="en-GB"/>
              </w:rPr>
            </w:pPr>
            <w:r w:rsidRPr="00B03BA6">
              <w:rPr>
                <w:rFonts w:eastAsia="Calibri" w:cstheme="minorHAnsi"/>
                <w:b/>
                <w:bCs/>
                <w:sz w:val="20"/>
                <w:szCs w:val="20"/>
                <w:lang w:val="en-GB"/>
              </w:rPr>
              <w:t>Insurance</w:t>
            </w:r>
          </w:p>
        </w:tc>
        <w:tc>
          <w:tcPr>
            <w:tcW w:w="5525" w:type="dxa"/>
            <w:shd w:val="clear" w:color="auto" w:fill="auto"/>
          </w:tcPr>
          <w:p w:rsidR="00DA5DBA" w:rsidRPr="00B03BA6" w:rsidRDefault="00DA5DBA" w:rsidP="009C1D51">
            <w:pPr>
              <w:spacing w:before="40" w:after="40" w:line="264" w:lineRule="auto"/>
              <w:rPr>
                <w:rFonts w:eastAsia="Calibri" w:cstheme="minorHAnsi"/>
                <w:i/>
                <w:iCs/>
                <w:sz w:val="20"/>
                <w:szCs w:val="20"/>
                <w:lang w:val="en-GB"/>
              </w:rPr>
            </w:pPr>
            <w:r w:rsidRPr="00B03BA6">
              <w:rPr>
                <w:rFonts w:eastAsia="Calibri" w:cstheme="minorHAnsi"/>
                <w:i/>
                <w:iCs/>
                <w:sz w:val="20"/>
                <w:szCs w:val="20"/>
                <w:lang w:val="en-GB"/>
              </w:rPr>
              <w:t xml:space="preserve">[Set down the insurance arrangements that may apply to the joint property – types of policies relevant to the development. Note the obligations on the law in relation to building insurance and insurance of owners and occupiers. Consider the need for public liability, insurance of workers compensation. </w:t>
            </w:r>
          </w:p>
          <w:p w:rsidR="00DA5DBA" w:rsidRPr="00B03BA6" w:rsidRDefault="00DA5DBA" w:rsidP="009C1D51">
            <w:pPr>
              <w:spacing w:before="40" w:after="40" w:line="264" w:lineRule="auto"/>
              <w:rPr>
                <w:rFonts w:eastAsia="Calibri" w:cstheme="minorHAnsi"/>
                <w:i/>
                <w:iCs/>
                <w:sz w:val="20"/>
                <w:szCs w:val="20"/>
                <w:lang w:val="en-GB"/>
              </w:rPr>
            </w:pPr>
            <w:r w:rsidRPr="00B03BA6">
              <w:rPr>
                <w:rFonts w:eastAsia="Calibri" w:cstheme="minorHAnsi"/>
                <w:i/>
                <w:iCs/>
                <w:sz w:val="20"/>
                <w:szCs w:val="20"/>
                <w:lang w:val="en-GB"/>
              </w:rPr>
              <w:t>[Clarify the owner’s responsibility to obtain insurance. For example, where the joint property is a villa development, specify the responsibility for obtaining building insurance.]</w:t>
            </w:r>
          </w:p>
        </w:tc>
      </w:tr>
      <w:tr w:rsidR="00DA5DBA" w:rsidRPr="00490CBA" w:rsidTr="009C1D51">
        <w:trPr>
          <w:jc w:val="center"/>
        </w:trPr>
        <w:tc>
          <w:tcPr>
            <w:tcW w:w="1271" w:type="dxa"/>
            <w:shd w:val="clear" w:color="auto" w:fill="auto"/>
          </w:tcPr>
          <w:p w:rsidR="00DA5DBA" w:rsidRPr="00B03BA6" w:rsidRDefault="00DA5DBA" w:rsidP="009C1D51">
            <w:pPr>
              <w:spacing w:before="40" w:after="40" w:line="264" w:lineRule="auto"/>
              <w:rPr>
                <w:rFonts w:eastAsia="Calibri" w:cstheme="minorHAnsi"/>
                <w:b/>
                <w:bCs/>
                <w:sz w:val="20"/>
                <w:szCs w:val="20"/>
                <w:lang w:val="en-GB"/>
              </w:rPr>
            </w:pPr>
            <w:r w:rsidRPr="00B03BA6">
              <w:rPr>
                <w:rFonts w:eastAsia="Calibri" w:cstheme="minorHAnsi"/>
                <w:b/>
                <w:bCs/>
                <w:sz w:val="20"/>
                <w:szCs w:val="20"/>
                <w:lang w:val="en-GB"/>
              </w:rPr>
              <w:t>By-Law 1.9</w:t>
            </w:r>
          </w:p>
        </w:tc>
        <w:tc>
          <w:tcPr>
            <w:tcW w:w="2271" w:type="dxa"/>
            <w:shd w:val="clear" w:color="auto" w:fill="auto"/>
          </w:tcPr>
          <w:p w:rsidR="00DA5DBA" w:rsidRPr="00B03BA6" w:rsidRDefault="00DA5DBA" w:rsidP="009C1D51">
            <w:pPr>
              <w:spacing w:before="40" w:after="40" w:line="264" w:lineRule="auto"/>
              <w:rPr>
                <w:rFonts w:eastAsia="Calibri" w:cstheme="minorHAnsi"/>
                <w:b/>
                <w:bCs/>
                <w:sz w:val="20"/>
                <w:szCs w:val="20"/>
                <w:lang w:val="en-GB"/>
              </w:rPr>
            </w:pPr>
            <w:r w:rsidRPr="00B03BA6">
              <w:rPr>
                <w:rFonts w:eastAsia="Calibri" w:cstheme="minorHAnsi"/>
                <w:b/>
                <w:bCs/>
                <w:sz w:val="20"/>
                <w:szCs w:val="20"/>
                <w:lang w:val="en-GB"/>
              </w:rPr>
              <w:t>Easements and Covenants</w:t>
            </w:r>
          </w:p>
        </w:tc>
        <w:tc>
          <w:tcPr>
            <w:tcW w:w="5525" w:type="dxa"/>
            <w:shd w:val="clear" w:color="auto" w:fill="auto"/>
          </w:tcPr>
          <w:p w:rsidR="00DA5DBA" w:rsidRPr="00B03BA6" w:rsidRDefault="00DA5DBA" w:rsidP="009C1D51">
            <w:pPr>
              <w:spacing w:before="40" w:after="40" w:line="264" w:lineRule="auto"/>
              <w:rPr>
                <w:rFonts w:eastAsia="Calibri" w:cstheme="minorHAnsi"/>
                <w:i/>
                <w:iCs/>
                <w:sz w:val="20"/>
                <w:szCs w:val="20"/>
                <w:lang w:val="en-GB"/>
              </w:rPr>
            </w:pPr>
            <w:r w:rsidRPr="00B03BA6">
              <w:rPr>
                <w:rFonts w:eastAsia="Calibri" w:cstheme="minorHAnsi"/>
                <w:i/>
                <w:iCs/>
                <w:sz w:val="20"/>
                <w:szCs w:val="20"/>
                <w:lang w:val="en-GB"/>
              </w:rPr>
              <w:t>[Set down any easements or covenants applicable as between Units in the Joint Property].</w:t>
            </w:r>
          </w:p>
        </w:tc>
      </w:tr>
      <w:tr w:rsidR="00DA5DBA" w:rsidRPr="00490CBA" w:rsidTr="009C1D51">
        <w:trPr>
          <w:jc w:val="center"/>
        </w:trPr>
        <w:tc>
          <w:tcPr>
            <w:tcW w:w="1271" w:type="dxa"/>
            <w:shd w:val="clear" w:color="auto" w:fill="auto"/>
          </w:tcPr>
          <w:p w:rsidR="00DA5DBA" w:rsidRPr="00B03BA6" w:rsidRDefault="00DA5DBA" w:rsidP="009C1D51">
            <w:pPr>
              <w:spacing w:before="40" w:after="40" w:line="264" w:lineRule="auto"/>
              <w:rPr>
                <w:rFonts w:eastAsia="Calibri" w:cstheme="minorHAnsi"/>
                <w:b/>
                <w:bCs/>
                <w:sz w:val="20"/>
                <w:szCs w:val="20"/>
                <w:lang w:val="en-GB"/>
              </w:rPr>
            </w:pPr>
            <w:r w:rsidRPr="00B03BA6">
              <w:rPr>
                <w:rFonts w:eastAsia="Calibri" w:cstheme="minorHAnsi"/>
                <w:b/>
                <w:bCs/>
                <w:sz w:val="20"/>
                <w:szCs w:val="20"/>
                <w:lang w:val="en-GB"/>
              </w:rPr>
              <w:t>By-Law 1.10</w:t>
            </w:r>
          </w:p>
        </w:tc>
        <w:tc>
          <w:tcPr>
            <w:tcW w:w="2271" w:type="dxa"/>
            <w:shd w:val="clear" w:color="auto" w:fill="auto"/>
          </w:tcPr>
          <w:p w:rsidR="00DA5DBA" w:rsidRPr="00B03BA6" w:rsidRDefault="00DA5DBA" w:rsidP="009C1D51">
            <w:pPr>
              <w:spacing w:before="40" w:after="40" w:line="264" w:lineRule="auto"/>
              <w:rPr>
                <w:rFonts w:eastAsia="Calibri" w:cstheme="minorHAnsi"/>
                <w:b/>
                <w:bCs/>
                <w:sz w:val="20"/>
                <w:szCs w:val="20"/>
                <w:lang w:val="en-GB"/>
              </w:rPr>
            </w:pPr>
            <w:r w:rsidRPr="00B03BA6">
              <w:rPr>
                <w:rFonts w:eastAsia="Calibri" w:cstheme="minorHAnsi"/>
                <w:b/>
                <w:bCs/>
                <w:sz w:val="20"/>
                <w:szCs w:val="20"/>
                <w:lang w:val="en-GB"/>
              </w:rPr>
              <w:t>Special Contractual Arrangements</w:t>
            </w:r>
          </w:p>
        </w:tc>
        <w:tc>
          <w:tcPr>
            <w:tcW w:w="5525" w:type="dxa"/>
            <w:shd w:val="clear" w:color="auto" w:fill="auto"/>
          </w:tcPr>
          <w:p w:rsidR="00DA5DBA" w:rsidRPr="00B03BA6" w:rsidRDefault="00DA5DBA" w:rsidP="009C1D51">
            <w:pPr>
              <w:spacing w:before="40" w:after="40" w:line="264" w:lineRule="auto"/>
              <w:rPr>
                <w:rFonts w:eastAsia="Calibri" w:cstheme="minorHAnsi"/>
                <w:i/>
                <w:iCs/>
                <w:sz w:val="20"/>
                <w:szCs w:val="20"/>
                <w:lang w:val="en-GB"/>
              </w:rPr>
            </w:pPr>
            <w:r w:rsidRPr="00B03BA6">
              <w:rPr>
                <w:rFonts w:eastAsia="Calibri" w:cstheme="minorHAnsi"/>
                <w:i/>
                <w:iCs/>
                <w:sz w:val="20"/>
                <w:szCs w:val="20"/>
                <w:lang w:val="en-GB"/>
              </w:rPr>
              <w:t>[Insert details of any special contractual arrangements that Owners will be required to enter into. This may be particularly relevant to sub-developers purchasing development plots].</w:t>
            </w:r>
          </w:p>
        </w:tc>
      </w:tr>
      <w:tr w:rsidR="00DA5DBA" w:rsidRPr="006C7E35" w:rsidTr="009C1D51">
        <w:trPr>
          <w:jc w:val="center"/>
        </w:trPr>
        <w:tc>
          <w:tcPr>
            <w:tcW w:w="1271" w:type="dxa"/>
            <w:shd w:val="clear" w:color="auto" w:fill="auto"/>
          </w:tcPr>
          <w:p w:rsidR="00DA5DBA" w:rsidRPr="00B03BA6" w:rsidRDefault="00DA5DBA" w:rsidP="009C1D51">
            <w:pPr>
              <w:spacing w:before="40" w:after="40" w:line="264" w:lineRule="auto"/>
              <w:rPr>
                <w:rFonts w:eastAsia="Calibri" w:cstheme="minorHAnsi"/>
                <w:b/>
                <w:bCs/>
                <w:sz w:val="20"/>
                <w:szCs w:val="20"/>
                <w:lang w:val="en-GB"/>
              </w:rPr>
            </w:pPr>
            <w:r w:rsidRPr="00B03BA6">
              <w:rPr>
                <w:rFonts w:eastAsia="Calibri" w:cstheme="minorHAnsi"/>
                <w:b/>
                <w:bCs/>
                <w:sz w:val="20"/>
                <w:szCs w:val="20"/>
                <w:lang w:val="en-GB"/>
              </w:rPr>
              <w:t>By-Law 1.11</w:t>
            </w:r>
          </w:p>
        </w:tc>
        <w:tc>
          <w:tcPr>
            <w:tcW w:w="2271" w:type="dxa"/>
            <w:shd w:val="clear" w:color="auto" w:fill="auto"/>
          </w:tcPr>
          <w:p w:rsidR="00DA5DBA" w:rsidRPr="00B03BA6" w:rsidRDefault="00DA5DBA" w:rsidP="009C1D51">
            <w:pPr>
              <w:spacing w:before="40" w:after="40" w:line="264" w:lineRule="auto"/>
              <w:rPr>
                <w:rFonts w:eastAsia="Calibri" w:cstheme="minorHAnsi"/>
                <w:b/>
                <w:bCs/>
                <w:sz w:val="20"/>
                <w:szCs w:val="20"/>
                <w:lang w:val="en-GB"/>
              </w:rPr>
            </w:pPr>
            <w:r w:rsidRPr="00B03BA6">
              <w:rPr>
                <w:rFonts w:eastAsia="Calibri" w:cstheme="minorHAnsi"/>
                <w:b/>
                <w:bCs/>
                <w:sz w:val="20"/>
                <w:szCs w:val="20"/>
                <w:lang w:val="en-GB"/>
              </w:rPr>
              <w:t xml:space="preserve">Theme - Architectural &amp; Works </w:t>
            </w:r>
          </w:p>
        </w:tc>
        <w:tc>
          <w:tcPr>
            <w:tcW w:w="5525" w:type="dxa"/>
            <w:shd w:val="clear" w:color="auto" w:fill="auto"/>
          </w:tcPr>
          <w:p w:rsidR="00DA5DBA" w:rsidRPr="00B03BA6" w:rsidRDefault="00DA5DBA" w:rsidP="009C1D51">
            <w:pPr>
              <w:spacing w:before="40" w:after="40" w:line="264" w:lineRule="auto"/>
              <w:rPr>
                <w:rFonts w:eastAsia="Calibri" w:cstheme="minorHAnsi"/>
                <w:i/>
                <w:iCs/>
                <w:sz w:val="20"/>
                <w:szCs w:val="20"/>
                <w:lang w:val="en-GB"/>
              </w:rPr>
            </w:pPr>
            <w:r w:rsidRPr="00B03BA6">
              <w:rPr>
                <w:rFonts w:eastAsia="Calibri" w:cstheme="minorHAnsi"/>
                <w:i/>
                <w:iCs/>
                <w:sz w:val="20"/>
                <w:szCs w:val="20"/>
                <w:lang w:val="en-GB"/>
              </w:rPr>
              <w:t>[Insert details or rules regarding architectural themes and guidelines concerning the Joint Property that are intended to bind all owners]</w:t>
            </w:r>
          </w:p>
        </w:tc>
      </w:tr>
      <w:tr w:rsidR="00DA5DBA" w:rsidRPr="006C7E35" w:rsidTr="009C1D51">
        <w:trPr>
          <w:jc w:val="center"/>
        </w:trPr>
        <w:tc>
          <w:tcPr>
            <w:tcW w:w="1271" w:type="dxa"/>
            <w:shd w:val="clear" w:color="auto" w:fill="auto"/>
          </w:tcPr>
          <w:p w:rsidR="00DA5DBA" w:rsidRPr="00B03BA6" w:rsidRDefault="00DA5DBA" w:rsidP="009C1D51">
            <w:pPr>
              <w:spacing w:before="40" w:after="40" w:line="264" w:lineRule="auto"/>
              <w:rPr>
                <w:rFonts w:eastAsia="Calibri" w:cstheme="minorHAnsi"/>
                <w:b/>
                <w:bCs/>
                <w:sz w:val="20"/>
                <w:szCs w:val="20"/>
                <w:lang w:val="en-GB"/>
              </w:rPr>
            </w:pPr>
            <w:r w:rsidRPr="00B03BA6">
              <w:rPr>
                <w:rFonts w:eastAsia="Calibri" w:cstheme="minorHAnsi"/>
                <w:b/>
                <w:bCs/>
                <w:sz w:val="20"/>
                <w:szCs w:val="20"/>
                <w:lang w:val="en-GB"/>
              </w:rPr>
              <w:t>By-Law 1.12</w:t>
            </w:r>
          </w:p>
        </w:tc>
        <w:tc>
          <w:tcPr>
            <w:tcW w:w="2271" w:type="dxa"/>
            <w:shd w:val="clear" w:color="auto" w:fill="auto"/>
          </w:tcPr>
          <w:p w:rsidR="00DA5DBA" w:rsidRPr="00B03BA6" w:rsidRDefault="00DA5DBA" w:rsidP="009C1D51">
            <w:pPr>
              <w:spacing w:before="40" w:after="40" w:line="264" w:lineRule="auto"/>
              <w:rPr>
                <w:rFonts w:eastAsia="Calibri" w:cstheme="minorHAnsi"/>
                <w:b/>
                <w:bCs/>
                <w:sz w:val="20"/>
                <w:szCs w:val="20"/>
                <w:lang w:val="en-GB"/>
              </w:rPr>
            </w:pPr>
            <w:r w:rsidRPr="00B03BA6">
              <w:rPr>
                <w:rFonts w:eastAsia="Calibri" w:cstheme="minorHAnsi"/>
                <w:b/>
                <w:bCs/>
                <w:sz w:val="20"/>
                <w:szCs w:val="20"/>
                <w:lang w:val="en-GB"/>
              </w:rPr>
              <w:t>Arrangements affecting the Base Plot</w:t>
            </w:r>
          </w:p>
        </w:tc>
        <w:tc>
          <w:tcPr>
            <w:tcW w:w="5525" w:type="dxa"/>
            <w:shd w:val="clear" w:color="auto" w:fill="auto"/>
          </w:tcPr>
          <w:p w:rsidR="00DA5DBA" w:rsidRPr="00B03BA6" w:rsidRDefault="00DA5DBA" w:rsidP="009C1D51">
            <w:pPr>
              <w:spacing w:before="40" w:after="40" w:line="264" w:lineRule="auto"/>
              <w:rPr>
                <w:rFonts w:eastAsia="Calibri" w:cstheme="minorHAnsi"/>
                <w:i/>
                <w:iCs/>
                <w:sz w:val="20"/>
                <w:szCs w:val="20"/>
                <w:lang w:val="en-GB"/>
              </w:rPr>
            </w:pPr>
            <w:r w:rsidRPr="00B03BA6">
              <w:rPr>
                <w:rFonts w:eastAsia="Calibri" w:cstheme="minorHAnsi"/>
                <w:i/>
                <w:iCs/>
                <w:sz w:val="20"/>
                <w:szCs w:val="20"/>
                <w:lang w:val="en-GB"/>
              </w:rPr>
              <w:t xml:space="preserve">[Set down any easements, covenants, or leasehold interests, that related to the base plot upon which the Joint Property is constructed that are intended to be carried forward onto the Supplementary Record Sheet or the title deed for the common areas]. </w:t>
            </w:r>
          </w:p>
        </w:tc>
      </w:tr>
      <w:tr w:rsidR="00DA5DBA" w:rsidRPr="006C7E35" w:rsidTr="009C1D51">
        <w:trPr>
          <w:jc w:val="center"/>
        </w:trPr>
        <w:tc>
          <w:tcPr>
            <w:tcW w:w="1271" w:type="dxa"/>
            <w:shd w:val="clear" w:color="auto" w:fill="auto"/>
          </w:tcPr>
          <w:p w:rsidR="00DA5DBA" w:rsidRPr="00B03BA6" w:rsidRDefault="00DA5DBA" w:rsidP="009C1D51">
            <w:pPr>
              <w:spacing w:before="40" w:after="40" w:line="264" w:lineRule="auto"/>
              <w:rPr>
                <w:rFonts w:eastAsia="Calibri" w:cstheme="minorHAnsi"/>
                <w:b/>
                <w:bCs/>
                <w:sz w:val="20"/>
                <w:szCs w:val="20"/>
                <w:lang w:val="en-GB"/>
              </w:rPr>
            </w:pPr>
            <w:r w:rsidRPr="00B03BA6">
              <w:rPr>
                <w:rFonts w:eastAsia="Calibri" w:cstheme="minorHAnsi"/>
                <w:b/>
                <w:bCs/>
                <w:sz w:val="20"/>
                <w:szCs w:val="20"/>
                <w:lang w:val="en-GB"/>
              </w:rPr>
              <w:t>By-Law 1.13</w:t>
            </w:r>
          </w:p>
        </w:tc>
        <w:tc>
          <w:tcPr>
            <w:tcW w:w="2271" w:type="dxa"/>
            <w:shd w:val="clear" w:color="auto" w:fill="auto"/>
          </w:tcPr>
          <w:p w:rsidR="00DA5DBA" w:rsidRPr="00B03BA6" w:rsidRDefault="00DA5DBA" w:rsidP="009C1D51">
            <w:pPr>
              <w:spacing w:before="40" w:after="40" w:line="264" w:lineRule="auto"/>
              <w:rPr>
                <w:rFonts w:eastAsia="Calibri" w:cstheme="minorHAnsi"/>
                <w:b/>
                <w:bCs/>
                <w:sz w:val="20"/>
                <w:szCs w:val="20"/>
                <w:lang w:val="en-GB"/>
              </w:rPr>
            </w:pPr>
            <w:r w:rsidRPr="00B03BA6">
              <w:rPr>
                <w:rFonts w:eastAsia="Calibri" w:cstheme="minorHAnsi"/>
                <w:b/>
                <w:bCs/>
                <w:sz w:val="20"/>
                <w:szCs w:val="20"/>
                <w:lang w:val="en-GB"/>
              </w:rPr>
              <w:t>Permitted Use and restrictions on use of plots, units</w:t>
            </w:r>
          </w:p>
        </w:tc>
        <w:tc>
          <w:tcPr>
            <w:tcW w:w="5525" w:type="dxa"/>
            <w:shd w:val="clear" w:color="auto" w:fill="auto"/>
          </w:tcPr>
          <w:p w:rsidR="00DA5DBA" w:rsidRPr="00B03BA6" w:rsidRDefault="00DA5DBA" w:rsidP="009C1D51">
            <w:pPr>
              <w:spacing w:before="40" w:after="40" w:line="264" w:lineRule="auto"/>
              <w:rPr>
                <w:rFonts w:eastAsia="Calibri" w:cstheme="minorHAnsi"/>
                <w:i/>
                <w:iCs/>
                <w:sz w:val="20"/>
                <w:szCs w:val="20"/>
                <w:lang w:val="en-GB"/>
              </w:rPr>
            </w:pPr>
            <w:r w:rsidRPr="00B03BA6">
              <w:rPr>
                <w:rFonts w:eastAsia="Calibri" w:cstheme="minorHAnsi"/>
                <w:i/>
                <w:iCs/>
                <w:sz w:val="20"/>
                <w:szCs w:val="20"/>
                <w:lang w:val="en-GB"/>
              </w:rPr>
              <w:t>[Insert the permitted use of the Units and any restrictions (for example, no short-term letting].</w:t>
            </w:r>
          </w:p>
        </w:tc>
      </w:tr>
      <w:tr w:rsidR="00DA5DBA" w:rsidRPr="006C7E35" w:rsidTr="009C1D51">
        <w:trPr>
          <w:jc w:val="center"/>
        </w:trPr>
        <w:tc>
          <w:tcPr>
            <w:tcW w:w="1271" w:type="dxa"/>
            <w:shd w:val="clear" w:color="auto" w:fill="auto"/>
          </w:tcPr>
          <w:p w:rsidR="00DA5DBA" w:rsidRPr="00B03BA6" w:rsidRDefault="00DA5DBA" w:rsidP="009C1D51">
            <w:pPr>
              <w:spacing w:before="40" w:after="40" w:line="264" w:lineRule="auto"/>
              <w:rPr>
                <w:rFonts w:eastAsia="Calibri" w:cstheme="minorHAnsi"/>
                <w:b/>
                <w:bCs/>
                <w:sz w:val="20"/>
                <w:szCs w:val="20"/>
                <w:lang w:val="en-GB"/>
              </w:rPr>
            </w:pPr>
            <w:r w:rsidRPr="00B03BA6">
              <w:rPr>
                <w:rFonts w:eastAsia="Calibri" w:cstheme="minorHAnsi"/>
                <w:b/>
                <w:bCs/>
                <w:sz w:val="20"/>
                <w:szCs w:val="20"/>
                <w:lang w:val="en-GB"/>
              </w:rPr>
              <w:t>By-Law 1.14</w:t>
            </w:r>
          </w:p>
        </w:tc>
        <w:tc>
          <w:tcPr>
            <w:tcW w:w="2271" w:type="dxa"/>
            <w:shd w:val="clear" w:color="auto" w:fill="auto"/>
          </w:tcPr>
          <w:p w:rsidR="00DA5DBA" w:rsidRPr="00B03BA6" w:rsidRDefault="00DA5DBA" w:rsidP="009C1D51">
            <w:pPr>
              <w:spacing w:before="40" w:after="40" w:line="264" w:lineRule="auto"/>
              <w:rPr>
                <w:rFonts w:eastAsia="Calibri" w:cstheme="minorHAnsi"/>
                <w:b/>
                <w:bCs/>
                <w:sz w:val="20"/>
                <w:szCs w:val="20"/>
                <w:lang w:val="en-GB"/>
              </w:rPr>
            </w:pPr>
            <w:r w:rsidRPr="00B03BA6">
              <w:rPr>
                <w:rFonts w:eastAsia="Calibri" w:cstheme="minorHAnsi"/>
                <w:b/>
                <w:bCs/>
                <w:sz w:val="20"/>
                <w:szCs w:val="20"/>
                <w:lang w:val="en-GB"/>
              </w:rPr>
              <w:t>Stages of construction</w:t>
            </w:r>
          </w:p>
        </w:tc>
        <w:tc>
          <w:tcPr>
            <w:tcW w:w="5525" w:type="dxa"/>
            <w:shd w:val="clear" w:color="auto" w:fill="auto"/>
          </w:tcPr>
          <w:p w:rsidR="00DA5DBA" w:rsidRPr="00B03BA6" w:rsidRDefault="00DA5DBA" w:rsidP="009C1D51">
            <w:pPr>
              <w:spacing w:before="40" w:after="40" w:line="264" w:lineRule="auto"/>
              <w:rPr>
                <w:rFonts w:eastAsia="Calibri" w:cstheme="minorHAnsi"/>
                <w:i/>
                <w:iCs/>
                <w:sz w:val="20"/>
                <w:szCs w:val="20"/>
                <w:lang w:val="en-GB"/>
              </w:rPr>
            </w:pPr>
            <w:r w:rsidRPr="00B03BA6">
              <w:rPr>
                <w:rFonts w:eastAsia="Calibri" w:cstheme="minorHAnsi"/>
                <w:i/>
                <w:iCs/>
                <w:sz w:val="20"/>
                <w:szCs w:val="20"/>
                <w:lang w:val="en-GB"/>
              </w:rPr>
              <w:t>This is particularly relevant if construction is still underway such as in an of-plan sale project. This should set out:</w:t>
            </w:r>
          </w:p>
          <w:p w:rsidR="00DA5DBA" w:rsidRPr="00B03BA6" w:rsidRDefault="00DA5DBA" w:rsidP="00DA5DBA">
            <w:pPr>
              <w:pStyle w:val="ListParagraph"/>
              <w:numPr>
                <w:ilvl w:val="0"/>
                <w:numId w:val="3"/>
              </w:numPr>
              <w:spacing w:before="40" w:after="40" w:line="264" w:lineRule="auto"/>
              <w:rPr>
                <w:rFonts w:eastAsia="Calibri" w:cstheme="minorHAnsi"/>
                <w:i/>
                <w:iCs/>
                <w:sz w:val="20"/>
                <w:szCs w:val="20"/>
                <w:lang w:val="en-GB"/>
              </w:rPr>
            </w:pPr>
            <w:r w:rsidRPr="00B03BA6">
              <w:rPr>
                <w:rFonts w:eastAsia="Calibri" w:cstheme="minorHAnsi"/>
                <w:i/>
                <w:iCs/>
                <w:sz w:val="20"/>
                <w:szCs w:val="20"/>
                <w:lang w:val="en-GB"/>
              </w:rPr>
              <w:t>The proposed sequencing of stages</w:t>
            </w:r>
          </w:p>
          <w:p w:rsidR="00DA5DBA" w:rsidRPr="00B03BA6" w:rsidRDefault="00DA5DBA" w:rsidP="00DA5DBA">
            <w:pPr>
              <w:pStyle w:val="ListParagraph"/>
              <w:numPr>
                <w:ilvl w:val="0"/>
                <w:numId w:val="3"/>
              </w:numPr>
              <w:spacing w:before="40" w:after="40" w:line="264" w:lineRule="auto"/>
              <w:rPr>
                <w:rFonts w:eastAsia="Calibri" w:cstheme="minorHAnsi"/>
                <w:i/>
                <w:iCs/>
                <w:sz w:val="20"/>
                <w:szCs w:val="20"/>
                <w:lang w:val="en-GB"/>
              </w:rPr>
            </w:pPr>
            <w:r w:rsidRPr="00B03BA6">
              <w:rPr>
                <w:rFonts w:eastAsia="Calibri" w:cstheme="minorHAnsi"/>
                <w:i/>
                <w:iCs/>
                <w:sz w:val="20"/>
                <w:szCs w:val="20"/>
                <w:lang w:val="en-GB"/>
              </w:rPr>
              <w:t>Timetable for commencement and completion of stages</w:t>
            </w:r>
          </w:p>
          <w:p w:rsidR="00DA5DBA" w:rsidRPr="00B03BA6" w:rsidRDefault="00DA5DBA" w:rsidP="00DA5DBA">
            <w:pPr>
              <w:pStyle w:val="ListParagraph"/>
              <w:numPr>
                <w:ilvl w:val="0"/>
                <w:numId w:val="3"/>
              </w:numPr>
              <w:spacing w:before="40" w:after="40" w:line="264" w:lineRule="auto"/>
              <w:rPr>
                <w:rFonts w:eastAsia="Calibri" w:cstheme="minorHAnsi"/>
                <w:i/>
                <w:iCs/>
                <w:sz w:val="20"/>
                <w:szCs w:val="20"/>
                <w:lang w:val="en-GB"/>
              </w:rPr>
            </w:pPr>
            <w:r w:rsidRPr="00B03BA6">
              <w:rPr>
                <w:rFonts w:eastAsia="Calibri" w:cstheme="minorHAnsi"/>
                <w:i/>
                <w:iCs/>
                <w:sz w:val="20"/>
                <w:szCs w:val="20"/>
                <w:lang w:val="en-GB"/>
              </w:rPr>
              <w:t>Building to be constricted on each stage – height, number of units and size of units, use of units</w:t>
            </w:r>
          </w:p>
          <w:p w:rsidR="00DA5DBA" w:rsidRPr="00B03BA6" w:rsidRDefault="00DA5DBA" w:rsidP="00DA5DBA">
            <w:pPr>
              <w:pStyle w:val="ListParagraph"/>
              <w:numPr>
                <w:ilvl w:val="0"/>
                <w:numId w:val="3"/>
              </w:numPr>
              <w:spacing w:before="40" w:after="40" w:line="264" w:lineRule="auto"/>
              <w:rPr>
                <w:rFonts w:eastAsia="Calibri" w:cstheme="minorHAnsi"/>
                <w:i/>
                <w:iCs/>
                <w:sz w:val="20"/>
                <w:szCs w:val="20"/>
                <w:lang w:val="en-GB"/>
              </w:rPr>
            </w:pPr>
            <w:r w:rsidRPr="00B03BA6">
              <w:rPr>
                <w:rFonts w:eastAsia="Calibri" w:cstheme="minorHAnsi"/>
                <w:i/>
                <w:iCs/>
                <w:sz w:val="20"/>
                <w:szCs w:val="20"/>
                <w:lang w:val="en-GB"/>
              </w:rPr>
              <w:t>Utilities and infrastructure to be created in each stage</w:t>
            </w:r>
          </w:p>
          <w:p w:rsidR="00DA5DBA" w:rsidRPr="00B03BA6" w:rsidRDefault="00DA5DBA" w:rsidP="00DA5DBA">
            <w:pPr>
              <w:pStyle w:val="ListParagraph"/>
              <w:numPr>
                <w:ilvl w:val="0"/>
                <w:numId w:val="3"/>
              </w:numPr>
              <w:spacing w:before="40" w:after="40" w:line="264" w:lineRule="auto"/>
              <w:rPr>
                <w:rFonts w:eastAsia="Calibri" w:cstheme="minorHAnsi"/>
                <w:i/>
                <w:iCs/>
                <w:sz w:val="20"/>
                <w:szCs w:val="20"/>
                <w:lang w:val="en-GB"/>
              </w:rPr>
            </w:pPr>
            <w:r w:rsidRPr="00B03BA6">
              <w:rPr>
                <w:rFonts w:eastAsia="Calibri" w:cstheme="minorHAnsi"/>
                <w:i/>
                <w:iCs/>
                <w:sz w:val="20"/>
                <w:szCs w:val="20"/>
                <w:lang w:val="en-GB"/>
              </w:rPr>
              <w:t>Additional common areas that will be created in each stage and facilities becoming available to owners within that stage</w:t>
            </w:r>
          </w:p>
          <w:p w:rsidR="00DA5DBA" w:rsidRPr="00B03BA6" w:rsidRDefault="00DA5DBA" w:rsidP="00DA5DBA">
            <w:pPr>
              <w:pStyle w:val="ListParagraph"/>
              <w:numPr>
                <w:ilvl w:val="0"/>
                <w:numId w:val="3"/>
              </w:numPr>
              <w:spacing w:before="40" w:after="40" w:line="264" w:lineRule="auto"/>
              <w:rPr>
                <w:rFonts w:eastAsia="Calibri" w:cstheme="minorHAnsi"/>
                <w:i/>
                <w:iCs/>
                <w:sz w:val="20"/>
                <w:szCs w:val="20"/>
                <w:lang w:val="en-GB"/>
              </w:rPr>
            </w:pPr>
            <w:r w:rsidRPr="00B03BA6">
              <w:rPr>
                <w:rFonts w:eastAsia="Calibri" w:cstheme="minorHAnsi"/>
                <w:i/>
                <w:iCs/>
                <w:sz w:val="20"/>
                <w:szCs w:val="20"/>
                <w:lang w:val="en-GB"/>
              </w:rPr>
              <w:t>Hours of construction</w:t>
            </w:r>
          </w:p>
        </w:tc>
      </w:tr>
      <w:tr w:rsidR="00DA5DBA" w:rsidRPr="006C7E35" w:rsidTr="009C1D51">
        <w:trPr>
          <w:jc w:val="center"/>
        </w:trPr>
        <w:tc>
          <w:tcPr>
            <w:tcW w:w="1271" w:type="dxa"/>
            <w:shd w:val="clear" w:color="auto" w:fill="auto"/>
          </w:tcPr>
          <w:p w:rsidR="00DA5DBA" w:rsidRPr="00B03BA6" w:rsidRDefault="00DA5DBA" w:rsidP="009C1D51">
            <w:pPr>
              <w:spacing w:before="40" w:after="40" w:line="264" w:lineRule="auto"/>
              <w:rPr>
                <w:rFonts w:eastAsia="Calibri" w:cstheme="minorHAnsi"/>
                <w:b/>
                <w:bCs/>
                <w:sz w:val="20"/>
                <w:szCs w:val="20"/>
                <w:lang w:val="en-GB"/>
              </w:rPr>
            </w:pPr>
            <w:r w:rsidRPr="00B03BA6">
              <w:rPr>
                <w:rFonts w:eastAsia="Calibri" w:cstheme="minorHAnsi"/>
                <w:b/>
                <w:bCs/>
                <w:sz w:val="20"/>
                <w:szCs w:val="20"/>
                <w:lang w:val="en-GB"/>
              </w:rPr>
              <w:t>By-Law 1.15</w:t>
            </w:r>
          </w:p>
        </w:tc>
        <w:tc>
          <w:tcPr>
            <w:tcW w:w="2271" w:type="dxa"/>
            <w:shd w:val="clear" w:color="auto" w:fill="auto"/>
          </w:tcPr>
          <w:p w:rsidR="00DA5DBA" w:rsidRPr="00B03BA6" w:rsidRDefault="00DA5DBA" w:rsidP="009C1D51">
            <w:pPr>
              <w:spacing w:before="40" w:after="40" w:line="264" w:lineRule="auto"/>
              <w:rPr>
                <w:rFonts w:eastAsia="Calibri" w:cstheme="minorHAnsi"/>
                <w:b/>
                <w:bCs/>
                <w:sz w:val="20"/>
                <w:szCs w:val="20"/>
                <w:lang w:val="en-GB"/>
              </w:rPr>
            </w:pPr>
            <w:r w:rsidRPr="00B03BA6">
              <w:rPr>
                <w:rFonts w:eastAsia="Calibri" w:cstheme="minorHAnsi"/>
                <w:b/>
                <w:bCs/>
                <w:sz w:val="20"/>
                <w:szCs w:val="20"/>
                <w:lang w:val="en-GB"/>
              </w:rPr>
              <w:t>Covenants applying during the construction period</w:t>
            </w:r>
          </w:p>
        </w:tc>
        <w:tc>
          <w:tcPr>
            <w:tcW w:w="5525" w:type="dxa"/>
            <w:shd w:val="clear" w:color="auto" w:fill="auto"/>
          </w:tcPr>
          <w:p w:rsidR="00DA5DBA" w:rsidRPr="00B03BA6" w:rsidRDefault="00DA5DBA" w:rsidP="009C1D51">
            <w:pPr>
              <w:spacing w:before="40" w:after="40" w:line="264" w:lineRule="auto"/>
              <w:rPr>
                <w:rFonts w:eastAsia="Calibri" w:cstheme="minorHAnsi"/>
                <w:i/>
                <w:iCs/>
                <w:sz w:val="20"/>
                <w:szCs w:val="20"/>
                <w:lang w:val="en-GB"/>
              </w:rPr>
            </w:pPr>
            <w:r w:rsidRPr="00B03BA6">
              <w:rPr>
                <w:rFonts w:eastAsia="Calibri" w:cstheme="minorHAnsi"/>
                <w:i/>
                <w:iCs/>
                <w:sz w:val="20"/>
                <w:szCs w:val="20"/>
                <w:lang w:val="en-GB"/>
              </w:rPr>
              <w:t>This should set out:</w:t>
            </w:r>
          </w:p>
          <w:p w:rsidR="00DA5DBA" w:rsidRPr="00B03BA6" w:rsidRDefault="00DA5DBA" w:rsidP="00DA5DBA">
            <w:pPr>
              <w:pStyle w:val="ListParagraph"/>
              <w:numPr>
                <w:ilvl w:val="0"/>
                <w:numId w:val="4"/>
              </w:numPr>
              <w:spacing w:before="40" w:after="40" w:line="264" w:lineRule="auto"/>
              <w:rPr>
                <w:rFonts w:eastAsia="Calibri" w:cstheme="minorHAnsi"/>
                <w:i/>
                <w:iCs/>
                <w:sz w:val="20"/>
                <w:szCs w:val="20"/>
                <w:lang w:val="en-GB"/>
              </w:rPr>
            </w:pPr>
            <w:r w:rsidRPr="00B03BA6">
              <w:rPr>
                <w:rFonts w:eastAsia="Calibri" w:cstheme="minorHAnsi"/>
                <w:i/>
                <w:iCs/>
                <w:sz w:val="20"/>
                <w:szCs w:val="20"/>
                <w:lang w:val="en-GB"/>
              </w:rPr>
              <w:t>The developer’s commitment in relation to accessing the common areas during construction</w:t>
            </w:r>
          </w:p>
          <w:p w:rsidR="00DA5DBA" w:rsidRPr="00B03BA6" w:rsidRDefault="00DA5DBA" w:rsidP="00DA5DBA">
            <w:pPr>
              <w:pStyle w:val="ListParagraph"/>
              <w:numPr>
                <w:ilvl w:val="0"/>
                <w:numId w:val="4"/>
              </w:numPr>
              <w:spacing w:before="40" w:after="40" w:line="264" w:lineRule="auto"/>
              <w:rPr>
                <w:rFonts w:eastAsia="Calibri" w:cstheme="minorHAnsi"/>
                <w:i/>
                <w:iCs/>
                <w:sz w:val="20"/>
                <w:szCs w:val="20"/>
                <w:lang w:val="en-GB"/>
              </w:rPr>
            </w:pPr>
            <w:r w:rsidRPr="00B03BA6">
              <w:rPr>
                <w:rFonts w:eastAsia="Calibri" w:cstheme="minorHAnsi"/>
                <w:i/>
                <w:iCs/>
                <w:sz w:val="20"/>
                <w:szCs w:val="20"/>
                <w:lang w:val="en-GB"/>
              </w:rPr>
              <w:lastRenderedPageBreak/>
              <w:t>Repairing damage to common areas during construction</w:t>
            </w:r>
          </w:p>
          <w:p w:rsidR="00DA5DBA" w:rsidRPr="00B03BA6" w:rsidRDefault="00DA5DBA" w:rsidP="00DA5DBA">
            <w:pPr>
              <w:pStyle w:val="ListParagraph"/>
              <w:numPr>
                <w:ilvl w:val="0"/>
                <w:numId w:val="4"/>
              </w:numPr>
              <w:spacing w:before="40" w:after="40" w:line="264" w:lineRule="auto"/>
              <w:rPr>
                <w:rFonts w:eastAsia="Calibri" w:cstheme="minorHAnsi"/>
                <w:i/>
                <w:iCs/>
                <w:sz w:val="20"/>
                <w:szCs w:val="20"/>
                <w:lang w:val="en-GB"/>
              </w:rPr>
            </w:pPr>
            <w:r w:rsidRPr="00B03BA6">
              <w:rPr>
                <w:rFonts w:eastAsia="Calibri" w:cstheme="minorHAnsi"/>
                <w:i/>
                <w:iCs/>
                <w:sz w:val="20"/>
                <w:szCs w:val="20"/>
                <w:lang w:val="en-GB"/>
              </w:rPr>
              <w:t>Minimising inconvenience to owners during construction including noise and dust</w:t>
            </w:r>
          </w:p>
          <w:p w:rsidR="00DA5DBA" w:rsidRPr="00B03BA6" w:rsidRDefault="00DA5DBA" w:rsidP="00DA5DBA">
            <w:pPr>
              <w:pStyle w:val="ListParagraph"/>
              <w:numPr>
                <w:ilvl w:val="0"/>
                <w:numId w:val="4"/>
              </w:numPr>
              <w:spacing w:before="40" w:after="40" w:line="264" w:lineRule="auto"/>
              <w:rPr>
                <w:rFonts w:eastAsia="Calibri" w:cstheme="minorHAnsi"/>
                <w:i/>
                <w:iCs/>
                <w:sz w:val="20"/>
                <w:szCs w:val="20"/>
                <w:lang w:val="en-GB"/>
              </w:rPr>
            </w:pPr>
            <w:r w:rsidRPr="00B03BA6">
              <w:rPr>
                <w:rFonts w:eastAsia="Calibri" w:cstheme="minorHAnsi"/>
                <w:i/>
                <w:iCs/>
                <w:sz w:val="20"/>
                <w:szCs w:val="20"/>
                <w:lang w:val="en-GB"/>
              </w:rPr>
              <w:t>Developer’s insurance to cover damage to the joint property arising from construction</w:t>
            </w:r>
          </w:p>
        </w:tc>
      </w:tr>
      <w:tr w:rsidR="00DA5DBA" w:rsidRPr="00490CBA" w:rsidTr="009C1D51">
        <w:trPr>
          <w:jc w:val="center"/>
        </w:trPr>
        <w:tc>
          <w:tcPr>
            <w:tcW w:w="9067" w:type="dxa"/>
            <w:gridSpan w:val="3"/>
            <w:shd w:val="clear" w:color="auto" w:fill="D9D9D9" w:themeFill="background1" w:themeFillShade="D9"/>
          </w:tcPr>
          <w:p w:rsidR="00DA5DBA" w:rsidRPr="00B03BA6" w:rsidRDefault="00DA5DBA" w:rsidP="009C1D51">
            <w:pPr>
              <w:spacing w:before="40" w:after="40" w:line="264" w:lineRule="auto"/>
              <w:rPr>
                <w:rFonts w:eastAsia="Calibri" w:cstheme="minorHAnsi"/>
                <w:color w:val="5B9BD5" w:themeColor="accent1"/>
                <w:lang w:val="en-GB"/>
              </w:rPr>
            </w:pPr>
            <w:r w:rsidRPr="00B03BA6">
              <w:rPr>
                <w:rFonts w:eastAsia="Calibri" w:cstheme="minorHAnsi"/>
                <w:b/>
                <w:bCs/>
                <w:color w:val="5B9BD5" w:themeColor="accent1"/>
                <w:lang w:val="en-GB"/>
              </w:rPr>
              <w:lastRenderedPageBreak/>
              <w:t>PART 2 – By-Laws for Managing the Joint Property</w:t>
            </w:r>
          </w:p>
        </w:tc>
      </w:tr>
      <w:tr w:rsidR="00DA5DBA" w:rsidRPr="006C7E35" w:rsidTr="009C1D51">
        <w:trPr>
          <w:jc w:val="center"/>
        </w:trPr>
        <w:tc>
          <w:tcPr>
            <w:tcW w:w="1271" w:type="dxa"/>
            <w:shd w:val="clear" w:color="auto" w:fill="auto"/>
          </w:tcPr>
          <w:p w:rsidR="00DA5DBA" w:rsidRPr="00B03BA6" w:rsidRDefault="00DA5DBA" w:rsidP="009C1D51">
            <w:pPr>
              <w:spacing w:before="40" w:after="40" w:line="264" w:lineRule="auto"/>
              <w:rPr>
                <w:rFonts w:eastAsia="Calibri" w:cstheme="minorHAnsi"/>
                <w:b/>
                <w:bCs/>
                <w:sz w:val="20"/>
                <w:szCs w:val="20"/>
                <w:lang w:val="en-GB"/>
              </w:rPr>
            </w:pPr>
            <w:r w:rsidRPr="00B03BA6">
              <w:rPr>
                <w:rFonts w:eastAsia="Calibri" w:cstheme="minorHAnsi"/>
                <w:b/>
                <w:bCs/>
                <w:sz w:val="20"/>
                <w:szCs w:val="20"/>
                <w:lang w:val="en-GB"/>
              </w:rPr>
              <w:t>By-Law 2.1</w:t>
            </w:r>
          </w:p>
        </w:tc>
        <w:tc>
          <w:tcPr>
            <w:tcW w:w="2271" w:type="dxa"/>
            <w:shd w:val="clear" w:color="auto" w:fill="auto"/>
          </w:tcPr>
          <w:p w:rsidR="00DA5DBA" w:rsidRPr="00B03BA6" w:rsidRDefault="00DA5DBA" w:rsidP="009C1D51">
            <w:pPr>
              <w:spacing w:before="40" w:after="40" w:line="264" w:lineRule="auto"/>
              <w:rPr>
                <w:rFonts w:eastAsia="Calibri" w:cstheme="minorHAnsi"/>
                <w:b/>
                <w:bCs/>
                <w:sz w:val="20"/>
                <w:szCs w:val="20"/>
                <w:lang w:val="en-GB"/>
              </w:rPr>
            </w:pPr>
            <w:r w:rsidRPr="00B03BA6">
              <w:rPr>
                <w:rFonts w:eastAsia="Calibri" w:cstheme="minorHAnsi"/>
                <w:b/>
                <w:bCs/>
                <w:sz w:val="20"/>
                <w:szCs w:val="20"/>
                <w:lang w:val="en-GB"/>
              </w:rPr>
              <w:t>Management structure</w:t>
            </w:r>
          </w:p>
        </w:tc>
        <w:tc>
          <w:tcPr>
            <w:tcW w:w="5525" w:type="dxa"/>
            <w:shd w:val="clear" w:color="auto" w:fill="auto"/>
          </w:tcPr>
          <w:p w:rsidR="00DA5DBA" w:rsidRPr="00B03BA6" w:rsidRDefault="00DA5DBA" w:rsidP="009C1D51">
            <w:pPr>
              <w:spacing w:before="40" w:after="40" w:line="264" w:lineRule="auto"/>
              <w:rPr>
                <w:rFonts w:eastAsia="Calibri" w:cstheme="minorHAnsi"/>
                <w:i/>
                <w:iCs/>
                <w:sz w:val="20"/>
                <w:szCs w:val="20"/>
                <w:lang w:val="en-GB"/>
              </w:rPr>
            </w:pPr>
            <w:r w:rsidRPr="00B03BA6">
              <w:rPr>
                <w:rFonts w:eastAsia="Calibri" w:cstheme="minorHAnsi"/>
                <w:i/>
                <w:iCs/>
                <w:sz w:val="20"/>
                <w:szCs w:val="20"/>
                <w:lang w:val="en-GB"/>
              </w:rPr>
              <w:t>Developer’s confirmation that a single owners association is intended to be created by the Joint Property over the whole of the base plot and if not,  a subdivision may be required or a legal structure defined up-front]</w:t>
            </w:r>
          </w:p>
        </w:tc>
      </w:tr>
      <w:tr w:rsidR="00DA5DBA" w:rsidRPr="006C7E35" w:rsidTr="009C1D51">
        <w:trPr>
          <w:jc w:val="center"/>
        </w:trPr>
        <w:tc>
          <w:tcPr>
            <w:tcW w:w="1271" w:type="dxa"/>
            <w:shd w:val="clear" w:color="auto" w:fill="auto"/>
          </w:tcPr>
          <w:p w:rsidR="00DA5DBA" w:rsidRPr="00B03BA6" w:rsidRDefault="00DA5DBA" w:rsidP="009C1D51">
            <w:pPr>
              <w:spacing w:before="40" w:after="40" w:line="264" w:lineRule="auto"/>
              <w:rPr>
                <w:rFonts w:eastAsia="Calibri" w:cstheme="minorHAnsi"/>
                <w:b/>
                <w:bCs/>
                <w:sz w:val="20"/>
                <w:szCs w:val="20"/>
                <w:lang w:val="en-GB"/>
              </w:rPr>
            </w:pPr>
            <w:r w:rsidRPr="00B03BA6">
              <w:rPr>
                <w:rFonts w:eastAsia="Calibri" w:cstheme="minorHAnsi"/>
                <w:b/>
                <w:bCs/>
                <w:sz w:val="20"/>
                <w:szCs w:val="20"/>
                <w:lang w:val="en-GB"/>
              </w:rPr>
              <w:t>By-Law 2.2</w:t>
            </w:r>
          </w:p>
        </w:tc>
        <w:tc>
          <w:tcPr>
            <w:tcW w:w="2271" w:type="dxa"/>
            <w:shd w:val="clear" w:color="auto" w:fill="auto"/>
          </w:tcPr>
          <w:p w:rsidR="00DA5DBA" w:rsidRPr="00B03BA6" w:rsidRDefault="00DA5DBA" w:rsidP="009C1D51">
            <w:pPr>
              <w:spacing w:before="40" w:after="40" w:line="264" w:lineRule="auto"/>
              <w:rPr>
                <w:rFonts w:eastAsia="Calibri" w:cstheme="minorHAnsi"/>
                <w:b/>
                <w:bCs/>
                <w:sz w:val="20"/>
                <w:szCs w:val="20"/>
                <w:lang w:val="en-GB"/>
              </w:rPr>
            </w:pPr>
            <w:r w:rsidRPr="00B03BA6">
              <w:rPr>
                <w:rFonts w:eastAsia="Calibri" w:cstheme="minorHAnsi"/>
                <w:b/>
                <w:bCs/>
                <w:sz w:val="20"/>
                <w:szCs w:val="20"/>
                <w:lang w:val="en-GB"/>
              </w:rPr>
              <w:t>Operational Rules</w:t>
            </w:r>
          </w:p>
        </w:tc>
        <w:tc>
          <w:tcPr>
            <w:tcW w:w="5525" w:type="dxa"/>
            <w:shd w:val="clear" w:color="auto" w:fill="auto"/>
          </w:tcPr>
          <w:p w:rsidR="00DA5DBA" w:rsidRPr="00B03BA6" w:rsidRDefault="00DA5DBA" w:rsidP="009C1D51">
            <w:pPr>
              <w:spacing w:before="40" w:after="40" w:line="264" w:lineRule="auto"/>
              <w:rPr>
                <w:rFonts w:eastAsia="Calibri" w:cstheme="minorHAnsi"/>
                <w:i/>
                <w:iCs/>
                <w:sz w:val="20"/>
                <w:szCs w:val="20"/>
                <w:lang w:val="en-GB"/>
              </w:rPr>
            </w:pPr>
            <w:r w:rsidRPr="00B03BA6">
              <w:rPr>
                <w:rFonts w:eastAsia="Calibri" w:cstheme="minorHAnsi"/>
                <w:i/>
                <w:iCs/>
                <w:sz w:val="20"/>
                <w:szCs w:val="20"/>
                <w:lang w:val="en-GB"/>
              </w:rPr>
              <w:t>[Insert any Operational Rules that apply to the Joint Property and use of the Common Areas. This may include items relating to parking, traffic flow, speed limits, conditions and use of common areas, hours of use, safety, security, card access, disposal of rubbish, noise mitigation etc].</w:t>
            </w:r>
          </w:p>
        </w:tc>
      </w:tr>
      <w:tr w:rsidR="00DA5DBA" w:rsidRPr="00490CBA" w:rsidTr="009C1D51">
        <w:trPr>
          <w:jc w:val="center"/>
        </w:trPr>
        <w:tc>
          <w:tcPr>
            <w:tcW w:w="1271" w:type="dxa"/>
            <w:shd w:val="clear" w:color="auto" w:fill="auto"/>
          </w:tcPr>
          <w:p w:rsidR="00DA5DBA" w:rsidRPr="00B03BA6" w:rsidRDefault="00DA5DBA" w:rsidP="009C1D51">
            <w:pPr>
              <w:spacing w:before="40" w:after="40" w:line="264" w:lineRule="auto"/>
              <w:rPr>
                <w:rFonts w:eastAsia="Calibri" w:cstheme="minorHAnsi"/>
                <w:b/>
                <w:bCs/>
                <w:sz w:val="20"/>
                <w:szCs w:val="20"/>
                <w:lang w:val="en-GB"/>
              </w:rPr>
            </w:pPr>
            <w:r w:rsidRPr="00B03BA6">
              <w:rPr>
                <w:rFonts w:eastAsia="Calibri" w:cstheme="minorHAnsi"/>
                <w:b/>
                <w:bCs/>
                <w:sz w:val="20"/>
                <w:szCs w:val="20"/>
                <w:lang w:val="en-GB"/>
              </w:rPr>
              <w:t>By-Law 2.3</w:t>
            </w:r>
          </w:p>
        </w:tc>
        <w:tc>
          <w:tcPr>
            <w:tcW w:w="2271" w:type="dxa"/>
            <w:shd w:val="clear" w:color="auto" w:fill="auto"/>
          </w:tcPr>
          <w:p w:rsidR="00DA5DBA" w:rsidRPr="00B03BA6" w:rsidRDefault="00DA5DBA" w:rsidP="009C1D51">
            <w:pPr>
              <w:spacing w:before="40" w:after="40" w:line="264" w:lineRule="auto"/>
              <w:rPr>
                <w:rFonts w:eastAsia="Calibri" w:cstheme="minorHAnsi"/>
                <w:b/>
                <w:bCs/>
                <w:sz w:val="20"/>
                <w:szCs w:val="20"/>
                <w:lang w:val="en-GB"/>
              </w:rPr>
            </w:pPr>
            <w:r w:rsidRPr="00B03BA6">
              <w:rPr>
                <w:rFonts w:eastAsia="Calibri" w:cstheme="minorHAnsi"/>
                <w:b/>
                <w:bCs/>
                <w:sz w:val="20"/>
                <w:szCs w:val="20"/>
                <w:lang w:val="en-GB"/>
              </w:rPr>
              <w:t>Fees for issue of certificates</w:t>
            </w:r>
          </w:p>
        </w:tc>
        <w:tc>
          <w:tcPr>
            <w:tcW w:w="5525" w:type="dxa"/>
            <w:shd w:val="clear" w:color="auto" w:fill="auto"/>
          </w:tcPr>
          <w:p w:rsidR="00DA5DBA" w:rsidRPr="00B03BA6" w:rsidRDefault="00DA5DBA" w:rsidP="009C1D51">
            <w:pPr>
              <w:spacing w:before="40" w:after="40" w:line="264" w:lineRule="auto"/>
              <w:rPr>
                <w:rFonts w:eastAsia="Calibri" w:cstheme="minorHAnsi"/>
                <w:i/>
                <w:iCs/>
                <w:sz w:val="20"/>
                <w:szCs w:val="20"/>
                <w:lang w:val="en-GB"/>
              </w:rPr>
            </w:pPr>
            <w:r w:rsidRPr="00B03BA6">
              <w:rPr>
                <w:rFonts w:eastAsia="Calibri" w:cstheme="minorHAnsi"/>
                <w:i/>
                <w:iCs/>
                <w:sz w:val="20"/>
                <w:szCs w:val="20"/>
                <w:lang w:val="en-GB"/>
              </w:rPr>
              <w:t>Fee for the issue of a clearance certificate by the owners association</w:t>
            </w:r>
          </w:p>
          <w:p w:rsidR="00DA5DBA" w:rsidRPr="00B03BA6" w:rsidRDefault="00DA5DBA" w:rsidP="009C1D51">
            <w:pPr>
              <w:spacing w:before="40" w:after="40" w:line="264" w:lineRule="auto"/>
              <w:rPr>
                <w:rFonts w:eastAsia="Calibri" w:cstheme="minorHAnsi"/>
                <w:i/>
                <w:iCs/>
                <w:sz w:val="20"/>
                <w:szCs w:val="20"/>
                <w:lang w:val="en-GB"/>
              </w:rPr>
            </w:pPr>
            <w:r w:rsidRPr="00B03BA6">
              <w:rPr>
                <w:rFonts w:eastAsia="Calibri" w:cstheme="minorHAnsi"/>
                <w:i/>
                <w:iCs/>
                <w:sz w:val="20"/>
                <w:szCs w:val="20"/>
                <w:lang w:val="en-GB"/>
              </w:rPr>
              <w:t>Fee for the issue of a statement of annual subscription to the seller/ buyer</w:t>
            </w:r>
          </w:p>
        </w:tc>
      </w:tr>
      <w:tr w:rsidR="00DA5DBA" w:rsidRPr="00490CBA" w:rsidTr="009C1D51">
        <w:trPr>
          <w:jc w:val="center"/>
        </w:trPr>
        <w:tc>
          <w:tcPr>
            <w:tcW w:w="1271" w:type="dxa"/>
            <w:shd w:val="clear" w:color="auto" w:fill="auto"/>
          </w:tcPr>
          <w:p w:rsidR="00DA5DBA" w:rsidRPr="00B03BA6" w:rsidRDefault="00DA5DBA" w:rsidP="009C1D51">
            <w:pPr>
              <w:spacing w:before="40" w:after="40" w:line="264" w:lineRule="auto"/>
              <w:rPr>
                <w:rFonts w:eastAsia="Calibri" w:cstheme="minorHAnsi"/>
                <w:b/>
                <w:bCs/>
                <w:sz w:val="20"/>
                <w:szCs w:val="20"/>
                <w:lang w:val="en-GB"/>
              </w:rPr>
            </w:pPr>
            <w:r w:rsidRPr="00B03BA6">
              <w:rPr>
                <w:rFonts w:eastAsia="Calibri" w:cstheme="minorHAnsi"/>
                <w:b/>
                <w:bCs/>
                <w:sz w:val="20"/>
                <w:szCs w:val="20"/>
                <w:lang w:val="en-GB"/>
              </w:rPr>
              <w:t>By-Law 2.4</w:t>
            </w:r>
          </w:p>
        </w:tc>
        <w:tc>
          <w:tcPr>
            <w:tcW w:w="2271" w:type="dxa"/>
            <w:shd w:val="clear" w:color="auto" w:fill="auto"/>
          </w:tcPr>
          <w:p w:rsidR="00DA5DBA" w:rsidRPr="00B03BA6" w:rsidRDefault="00DA5DBA" w:rsidP="009C1D51">
            <w:pPr>
              <w:spacing w:before="40" w:after="40" w:line="264" w:lineRule="auto"/>
              <w:rPr>
                <w:rFonts w:eastAsia="Calibri" w:cstheme="minorHAnsi"/>
                <w:b/>
                <w:bCs/>
                <w:sz w:val="20"/>
                <w:szCs w:val="20"/>
                <w:lang w:val="en-GB"/>
              </w:rPr>
            </w:pPr>
            <w:r w:rsidRPr="00B03BA6">
              <w:rPr>
                <w:rFonts w:eastAsia="Calibri" w:cstheme="minorHAnsi"/>
                <w:b/>
                <w:bCs/>
                <w:sz w:val="20"/>
                <w:szCs w:val="20"/>
                <w:lang w:val="en-GB"/>
              </w:rPr>
              <w:t>Procedures against non-payers</w:t>
            </w:r>
          </w:p>
        </w:tc>
        <w:tc>
          <w:tcPr>
            <w:tcW w:w="5525" w:type="dxa"/>
            <w:shd w:val="clear" w:color="auto" w:fill="auto"/>
          </w:tcPr>
          <w:p w:rsidR="00DA5DBA" w:rsidRPr="00B03BA6" w:rsidRDefault="00DA5DBA" w:rsidP="009C1D51">
            <w:pPr>
              <w:spacing w:before="40" w:after="40" w:line="264" w:lineRule="auto"/>
              <w:rPr>
                <w:rFonts w:eastAsia="Calibri" w:cstheme="minorHAnsi"/>
                <w:i/>
                <w:iCs/>
                <w:sz w:val="20"/>
                <w:szCs w:val="20"/>
                <w:lang w:val="en-GB"/>
              </w:rPr>
            </w:pPr>
            <w:r w:rsidRPr="00B03BA6">
              <w:rPr>
                <w:rFonts w:eastAsia="Calibri" w:cstheme="minorHAnsi"/>
                <w:i/>
                <w:iCs/>
                <w:sz w:val="20"/>
                <w:szCs w:val="20"/>
                <w:lang w:val="en-GB"/>
              </w:rPr>
              <w:t>[Set out action that is envisaged to be taken where an owner fails to pay a service charge – administrative charges, procedure in the execution court, etc]</w:t>
            </w:r>
          </w:p>
        </w:tc>
      </w:tr>
      <w:tr w:rsidR="00DA5DBA" w:rsidRPr="006C7E35" w:rsidTr="009C1D51">
        <w:trPr>
          <w:jc w:val="center"/>
        </w:trPr>
        <w:tc>
          <w:tcPr>
            <w:tcW w:w="1271" w:type="dxa"/>
            <w:shd w:val="clear" w:color="auto" w:fill="auto"/>
          </w:tcPr>
          <w:p w:rsidR="00DA5DBA" w:rsidRPr="00B03BA6" w:rsidRDefault="00DA5DBA" w:rsidP="009C1D51">
            <w:pPr>
              <w:spacing w:before="40" w:after="40" w:line="264" w:lineRule="auto"/>
              <w:rPr>
                <w:rFonts w:eastAsia="Calibri" w:cstheme="minorHAnsi"/>
                <w:b/>
                <w:bCs/>
                <w:sz w:val="20"/>
                <w:szCs w:val="20"/>
                <w:lang w:val="en-GB"/>
              </w:rPr>
            </w:pPr>
            <w:r w:rsidRPr="00B03BA6">
              <w:rPr>
                <w:rFonts w:eastAsia="Calibri" w:cstheme="minorHAnsi"/>
                <w:b/>
                <w:bCs/>
                <w:sz w:val="20"/>
                <w:szCs w:val="20"/>
                <w:lang w:val="en-GB"/>
              </w:rPr>
              <w:t>By-Law 2.5</w:t>
            </w:r>
          </w:p>
        </w:tc>
        <w:tc>
          <w:tcPr>
            <w:tcW w:w="2271" w:type="dxa"/>
            <w:shd w:val="clear" w:color="auto" w:fill="auto"/>
          </w:tcPr>
          <w:p w:rsidR="00DA5DBA" w:rsidRPr="00B03BA6" w:rsidRDefault="00DA5DBA" w:rsidP="009C1D51">
            <w:pPr>
              <w:spacing w:before="40" w:after="40" w:line="264" w:lineRule="auto"/>
              <w:rPr>
                <w:rFonts w:eastAsia="Calibri" w:cstheme="minorHAnsi"/>
                <w:b/>
                <w:bCs/>
                <w:sz w:val="20"/>
                <w:szCs w:val="20"/>
                <w:lang w:val="en-GB"/>
              </w:rPr>
            </w:pPr>
            <w:r w:rsidRPr="00B03BA6">
              <w:rPr>
                <w:rFonts w:eastAsia="Calibri" w:cstheme="minorHAnsi"/>
                <w:b/>
                <w:bCs/>
                <w:sz w:val="20"/>
                <w:szCs w:val="20"/>
                <w:lang w:val="en-GB"/>
              </w:rPr>
              <w:t>Collection of service charges by government agencies</w:t>
            </w:r>
          </w:p>
        </w:tc>
        <w:tc>
          <w:tcPr>
            <w:tcW w:w="5525" w:type="dxa"/>
            <w:shd w:val="clear" w:color="auto" w:fill="auto"/>
          </w:tcPr>
          <w:p w:rsidR="00DA5DBA" w:rsidRPr="00B03BA6" w:rsidRDefault="00DA5DBA" w:rsidP="009C1D51">
            <w:pPr>
              <w:spacing w:before="40" w:after="40" w:line="264" w:lineRule="auto"/>
              <w:rPr>
                <w:rFonts w:eastAsia="Calibri" w:cstheme="minorHAnsi"/>
                <w:i/>
                <w:iCs/>
                <w:sz w:val="20"/>
                <w:szCs w:val="20"/>
                <w:lang w:val="en-GB"/>
              </w:rPr>
            </w:pPr>
            <w:r w:rsidRPr="00B03BA6">
              <w:rPr>
                <w:rFonts w:eastAsia="Calibri" w:cstheme="minorHAnsi"/>
                <w:i/>
                <w:iCs/>
                <w:sz w:val="20"/>
                <w:szCs w:val="20"/>
                <w:lang w:val="en-GB"/>
              </w:rPr>
              <w:t>[Set out any arrangements that have been negotiated with a government agency such as EWA to collect service charges]</w:t>
            </w:r>
          </w:p>
        </w:tc>
      </w:tr>
      <w:tr w:rsidR="00DA5DBA" w:rsidRPr="006C7E35" w:rsidTr="009C1D51">
        <w:trPr>
          <w:jc w:val="center"/>
        </w:trPr>
        <w:tc>
          <w:tcPr>
            <w:tcW w:w="1271" w:type="dxa"/>
            <w:shd w:val="clear" w:color="auto" w:fill="auto"/>
          </w:tcPr>
          <w:p w:rsidR="00DA5DBA" w:rsidRPr="00B03BA6" w:rsidRDefault="00DA5DBA" w:rsidP="009C1D51">
            <w:pPr>
              <w:spacing w:before="40" w:after="40" w:line="264" w:lineRule="auto"/>
              <w:rPr>
                <w:rFonts w:eastAsia="Calibri" w:cstheme="minorHAnsi"/>
                <w:b/>
                <w:bCs/>
                <w:sz w:val="20"/>
                <w:szCs w:val="20"/>
                <w:lang w:val="en-GB"/>
              </w:rPr>
            </w:pPr>
            <w:r w:rsidRPr="00B03BA6">
              <w:rPr>
                <w:rFonts w:eastAsia="Calibri" w:cstheme="minorHAnsi"/>
                <w:b/>
                <w:bCs/>
                <w:sz w:val="20"/>
                <w:szCs w:val="20"/>
                <w:lang w:val="en-GB"/>
              </w:rPr>
              <w:t>By-Law 2.6</w:t>
            </w:r>
          </w:p>
        </w:tc>
        <w:tc>
          <w:tcPr>
            <w:tcW w:w="2271" w:type="dxa"/>
            <w:shd w:val="clear" w:color="auto" w:fill="auto"/>
          </w:tcPr>
          <w:p w:rsidR="00DA5DBA" w:rsidRPr="00B03BA6" w:rsidRDefault="00DA5DBA" w:rsidP="009C1D51">
            <w:pPr>
              <w:spacing w:before="40" w:after="40" w:line="264" w:lineRule="auto"/>
              <w:rPr>
                <w:rFonts w:eastAsia="Calibri" w:cstheme="minorHAnsi"/>
                <w:b/>
                <w:bCs/>
                <w:sz w:val="20"/>
                <w:szCs w:val="20"/>
                <w:lang w:val="en-GB"/>
              </w:rPr>
            </w:pPr>
            <w:r w:rsidRPr="00B03BA6">
              <w:rPr>
                <w:rFonts w:eastAsia="Calibri" w:cstheme="minorHAnsi"/>
                <w:b/>
                <w:bCs/>
                <w:sz w:val="20"/>
                <w:szCs w:val="20"/>
                <w:lang w:val="en-GB"/>
              </w:rPr>
              <w:t>Developer management role</w:t>
            </w:r>
          </w:p>
        </w:tc>
        <w:tc>
          <w:tcPr>
            <w:tcW w:w="5525" w:type="dxa"/>
            <w:shd w:val="clear" w:color="auto" w:fill="auto"/>
          </w:tcPr>
          <w:p w:rsidR="00DA5DBA" w:rsidRPr="00B03BA6" w:rsidRDefault="00DA5DBA" w:rsidP="009C1D51">
            <w:pPr>
              <w:spacing w:before="40" w:after="40" w:line="264" w:lineRule="auto"/>
              <w:rPr>
                <w:rFonts w:eastAsia="Calibri" w:cstheme="minorHAnsi"/>
                <w:i/>
                <w:iCs/>
                <w:sz w:val="20"/>
                <w:szCs w:val="20"/>
                <w:lang w:val="en-GB"/>
              </w:rPr>
            </w:pPr>
            <w:r w:rsidRPr="00B03BA6">
              <w:rPr>
                <w:rFonts w:eastAsia="Calibri" w:cstheme="minorHAnsi"/>
                <w:i/>
                <w:iCs/>
                <w:sz w:val="20"/>
                <w:szCs w:val="20"/>
                <w:lang w:val="en-GB"/>
              </w:rPr>
              <w:t>[set out the developer management role in the first two years. This should describe:</w:t>
            </w:r>
          </w:p>
          <w:p w:rsidR="00DA5DBA" w:rsidRPr="00B03BA6" w:rsidRDefault="00DA5DBA" w:rsidP="00DA5DBA">
            <w:pPr>
              <w:pStyle w:val="ListParagraph"/>
              <w:numPr>
                <w:ilvl w:val="0"/>
                <w:numId w:val="2"/>
              </w:numPr>
              <w:spacing w:before="40" w:after="40" w:line="264" w:lineRule="auto"/>
              <w:ind w:left="458"/>
              <w:rPr>
                <w:rFonts w:eastAsia="Calibri" w:cstheme="minorHAnsi"/>
                <w:i/>
                <w:iCs/>
                <w:sz w:val="20"/>
                <w:szCs w:val="20"/>
                <w:lang w:val="en-GB"/>
              </w:rPr>
            </w:pPr>
            <w:r w:rsidRPr="00B03BA6">
              <w:rPr>
                <w:rFonts w:eastAsia="Calibri" w:cstheme="minorHAnsi"/>
                <w:i/>
                <w:iCs/>
                <w:sz w:val="20"/>
                <w:szCs w:val="20"/>
                <w:lang w:val="en-GB"/>
              </w:rPr>
              <w:t>Developer’s intention to manage and maintain units under Article 34 of the Law</w:t>
            </w:r>
          </w:p>
          <w:p w:rsidR="00DA5DBA" w:rsidRPr="00B03BA6" w:rsidRDefault="00DA5DBA" w:rsidP="00DA5DBA">
            <w:pPr>
              <w:pStyle w:val="ListParagraph"/>
              <w:numPr>
                <w:ilvl w:val="0"/>
                <w:numId w:val="2"/>
              </w:numPr>
              <w:spacing w:before="40" w:after="40" w:line="264" w:lineRule="auto"/>
              <w:ind w:left="458"/>
              <w:rPr>
                <w:rFonts w:eastAsia="Calibri" w:cstheme="minorHAnsi"/>
                <w:i/>
                <w:iCs/>
                <w:sz w:val="20"/>
                <w:szCs w:val="20"/>
                <w:lang w:val="en-GB"/>
              </w:rPr>
            </w:pPr>
            <w:r w:rsidRPr="00B03BA6">
              <w:rPr>
                <w:rFonts w:eastAsia="Calibri" w:cstheme="minorHAnsi"/>
                <w:i/>
                <w:iCs/>
                <w:sz w:val="20"/>
                <w:szCs w:val="20"/>
                <w:lang w:val="en-GB"/>
              </w:rPr>
              <w:t>Developer’s intention to request pre-payment of up to 2 years of service changes and deposit the funds into the association bank accounts</w:t>
            </w:r>
          </w:p>
          <w:p w:rsidR="00DA5DBA" w:rsidRPr="00B03BA6" w:rsidRDefault="00DA5DBA" w:rsidP="00DA5DBA">
            <w:pPr>
              <w:pStyle w:val="ListParagraph"/>
              <w:numPr>
                <w:ilvl w:val="0"/>
                <w:numId w:val="2"/>
              </w:numPr>
              <w:spacing w:before="40" w:after="40" w:line="264" w:lineRule="auto"/>
              <w:ind w:left="458"/>
              <w:rPr>
                <w:rFonts w:eastAsia="Calibri" w:cstheme="minorHAnsi"/>
                <w:i/>
                <w:iCs/>
                <w:sz w:val="20"/>
                <w:szCs w:val="20"/>
                <w:lang w:val="en-GB"/>
              </w:rPr>
            </w:pPr>
            <w:r w:rsidRPr="00B03BA6">
              <w:rPr>
                <w:rFonts w:eastAsia="Calibri" w:cstheme="minorHAnsi"/>
                <w:i/>
                <w:iCs/>
                <w:sz w:val="20"/>
                <w:szCs w:val="20"/>
                <w:lang w:val="en-GB"/>
              </w:rPr>
              <w:t>Developer’s intentions for supporting or undertaking a management role in the first two years</w:t>
            </w:r>
          </w:p>
          <w:p w:rsidR="00DA5DBA" w:rsidRPr="00B03BA6" w:rsidRDefault="00DA5DBA" w:rsidP="00DA5DBA">
            <w:pPr>
              <w:pStyle w:val="ListParagraph"/>
              <w:numPr>
                <w:ilvl w:val="0"/>
                <w:numId w:val="2"/>
              </w:numPr>
              <w:spacing w:before="40" w:after="40" w:line="264" w:lineRule="auto"/>
              <w:ind w:left="458"/>
              <w:rPr>
                <w:rFonts w:eastAsia="Calibri" w:cstheme="minorHAnsi"/>
                <w:i/>
                <w:iCs/>
                <w:sz w:val="20"/>
                <w:szCs w:val="20"/>
                <w:lang w:val="en-GB"/>
              </w:rPr>
            </w:pPr>
            <w:r w:rsidRPr="00B03BA6">
              <w:rPr>
                <w:rFonts w:eastAsia="Calibri" w:cstheme="minorHAnsi"/>
                <w:i/>
                <w:iCs/>
                <w:sz w:val="20"/>
                <w:szCs w:val="20"/>
                <w:lang w:val="en-GB"/>
              </w:rPr>
              <w:t>Owners association role during that period</w:t>
            </w:r>
          </w:p>
          <w:p w:rsidR="00DA5DBA" w:rsidRPr="00B03BA6" w:rsidRDefault="00DA5DBA" w:rsidP="00DA5DBA">
            <w:pPr>
              <w:pStyle w:val="ListParagraph"/>
              <w:numPr>
                <w:ilvl w:val="0"/>
                <w:numId w:val="2"/>
              </w:numPr>
              <w:spacing w:before="40" w:after="40" w:line="264" w:lineRule="auto"/>
              <w:ind w:left="458"/>
              <w:rPr>
                <w:rFonts w:eastAsia="Calibri" w:cstheme="minorHAnsi"/>
                <w:i/>
                <w:iCs/>
                <w:sz w:val="20"/>
                <w:szCs w:val="20"/>
                <w:lang w:val="en-GB"/>
              </w:rPr>
            </w:pPr>
            <w:r w:rsidRPr="00B03BA6">
              <w:rPr>
                <w:rFonts w:eastAsia="Calibri" w:cstheme="minorHAnsi"/>
                <w:i/>
                <w:iCs/>
                <w:sz w:val="20"/>
                <w:szCs w:val="20"/>
                <w:lang w:val="en-GB"/>
              </w:rPr>
              <w:t>Developer’s commitment in relation to defective fixtures and structural defects</w:t>
            </w:r>
          </w:p>
        </w:tc>
      </w:tr>
      <w:tr w:rsidR="00DA5DBA" w:rsidRPr="006C7E35" w:rsidTr="009C1D51">
        <w:trPr>
          <w:jc w:val="center"/>
        </w:trPr>
        <w:tc>
          <w:tcPr>
            <w:tcW w:w="1271" w:type="dxa"/>
            <w:shd w:val="clear" w:color="auto" w:fill="auto"/>
          </w:tcPr>
          <w:p w:rsidR="00DA5DBA" w:rsidRPr="00B03BA6" w:rsidRDefault="00DA5DBA" w:rsidP="009C1D51">
            <w:pPr>
              <w:spacing w:before="40" w:after="40" w:line="264" w:lineRule="auto"/>
              <w:rPr>
                <w:rFonts w:eastAsia="Calibri" w:cstheme="minorHAnsi"/>
                <w:b/>
                <w:bCs/>
                <w:sz w:val="20"/>
                <w:szCs w:val="20"/>
                <w:lang w:val="en-GB"/>
              </w:rPr>
            </w:pPr>
            <w:r w:rsidRPr="00B03BA6">
              <w:rPr>
                <w:rFonts w:eastAsia="Calibri" w:cstheme="minorHAnsi"/>
                <w:b/>
                <w:bCs/>
                <w:sz w:val="20"/>
                <w:szCs w:val="20"/>
                <w:lang w:val="en-GB"/>
              </w:rPr>
              <w:t>By-Law 2.7</w:t>
            </w:r>
          </w:p>
        </w:tc>
        <w:tc>
          <w:tcPr>
            <w:tcW w:w="2271" w:type="dxa"/>
            <w:shd w:val="clear" w:color="auto" w:fill="auto"/>
          </w:tcPr>
          <w:p w:rsidR="00DA5DBA" w:rsidRPr="00B03BA6" w:rsidRDefault="00DA5DBA" w:rsidP="009C1D51">
            <w:pPr>
              <w:spacing w:before="40" w:after="40" w:line="264" w:lineRule="auto"/>
              <w:rPr>
                <w:rFonts w:eastAsia="Calibri" w:cstheme="minorHAnsi"/>
                <w:b/>
                <w:bCs/>
                <w:sz w:val="20"/>
                <w:szCs w:val="20"/>
                <w:lang w:val="en-GB"/>
              </w:rPr>
            </w:pPr>
            <w:r w:rsidRPr="00B03BA6">
              <w:rPr>
                <w:rFonts w:eastAsia="Calibri" w:cstheme="minorHAnsi"/>
                <w:b/>
                <w:bCs/>
                <w:sz w:val="20"/>
                <w:szCs w:val="20"/>
                <w:lang w:val="en-GB"/>
              </w:rPr>
              <w:t>Internal dispute mechanisms</w:t>
            </w:r>
          </w:p>
        </w:tc>
        <w:tc>
          <w:tcPr>
            <w:tcW w:w="5525" w:type="dxa"/>
            <w:shd w:val="clear" w:color="auto" w:fill="auto"/>
          </w:tcPr>
          <w:p w:rsidR="00DA5DBA" w:rsidRPr="00B03BA6" w:rsidRDefault="00DA5DBA" w:rsidP="009C1D51">
            <w:pPr>
              <w:spacing w:before="40" w:after="40" w:line="264" w:lineRule="auto"/>
              <w:rPr>
                <w:rFonts w:eastAsia="Calibri" w:cstheme="minorHAnsi"/>
                <w:i/>
                <w:iCs/>
                <w:sz w:val="20"/>
                <w:szCs w:val="20"/>
                <w:lang w:val="en-GB"/>
              </w:rPr>
            </w:pPr>
            <w:r w:rsidRPr="00B03BA6">
              <w:rPr>
                <w:rFonts w:eastAsia="Calibri" w:cstheme="minorHAnsi"/>
                <w:i/>
                <w:iCs/>
                <w:sz w:val="20"/>
                <w:szCs w:val="20"/>
                <w:lang w:val="en-GB"/>
              </w:rPr>
              <w:t xml:space="preserve">[Here set out any procedures to be used within and external to the owners association in order to resolve disputes within the owners association.] </w:t>
            </w:r>
          </w:p>
        </w:tc>
      </w:tr>
      <w:tr w:rsidR="00DA5DBA" w:rsidRPr="00490CBA" w:rsidTr="009C1D51">
        <w:trPr>
          <w:jc w:val="center"/>
        </w:trPr>
        <w:tc>
          <w:tcPr>
            <w:tcW w:w="9067" w:type="dxa"/>
            <w:gridSpan w:val="3"/>
            <w:shd w:val="clear" w:color="auto" w:fill="D9D9D9" w:themeFill="background1" w:themeFillShade="D9"/>
          </w:tcPr>
          <w:p w:rsidR="00DA5DBA" w:rsidRPr="00B03BA6" w:rsidRDefault="00DA5DBA" w:rsidP="009C1D51">
            <w:pPr>
              <w:spacing w:before="40" w:after="40" w:line="264" w:lineRule="auto"/>
              <w:rPr>
                <w:rFonts w:eastAsia="Calibri" w:cstheme="minorHAnsi"/>
                <w:color w:val="5B9BD5" w:themeColor="accent1"/>
                <w:lang w:val="en-GB"/>
              </w:rPr>
            </w:pPr>
            <w:r w:rsidRPr="00B03BA6">
              <w:rPr>
                <w:rFonts w:eastAsia="Calibri" w:cstheme="minorHAnsi"/>
                <w:b/>
                <w:bCs/>
                <w:color w:val="5B9BD5" w:themeColor="accent1"/>
                <w:lang w:val="en-GB"/>
              </w:rPr>
              <w:t>PART 3 – Additional Articles of Association</w:t>
            </w:r>
          </w:p>
        </w:tc>
      </w:tr>
      <w:tr w:rsidR="00DA5DBA" w:rsidRPr="006C7E35" w:rsidTr="009C1D51">
        <w:trPr>
          <w:jc w:val="center"/>
        </w:trPr>
        <w:tc>
          <w:tcPr>
            <w:tcW w:w="1271" w:type="dxa"/>
            <w:shd w:val="clear" w:color="auto" w:fill="auto"/>
          </w:tcPr>
          <w:p w:rsidR="00DA5DBA" w:rsidRPr="00B03BA6" w:rsidRDefault="00DA5DBA" w:rsidP="009C1D51">
            <w:pPr>
              <w:spacing w:before="40" w:after="40" w:line="264" w:lineRule="auto"/>
              <w:rPr>
                <w:rFonts w:eastAsia="Calibri" w:cstheme="minorHAnsi"/>
                <w:b/>
                <w:bCs/>
                <w:sz w:val="20"/>
                <w:szCs w:val="20"/>
                <w:lang w:val="en-GB"/>
              </w:rPr>
            </w:pPr>
            <w:r w:rsidRPr="00B03BA6">
              <w:rPr>
                <w:rFonts w:eastAsia="Calibri" w:cstheme="minorHAnsi"/>
                <w:b/>
                <w:bCs/>
                <w:sz w:val="20"/>
                <w:szCs w:val="20"/>
                <w:lang w:val="en-GB"/>
              </w:rPr>
              <w:t>By-Law 3.1</w:t>
            </w:r>
          </w:p>
        </w:tc>
        <w:tc>
          <w:tcPr>
            <w:tcW w:w="2271" w:type="dxa"/>
            <w:shd w:val="clear" w:color="auto" w:fill="auto"/>
          </w:tcPr>
          <w:p w:rsidR="00DA5DBA" w:rsidRPr="00B03BA6" w:rsidRDefault="00DA5DBA" w:rsidP="009C1D51">
            <w:pPr>
              <w:spacing w:before="40" w:after="40" w:line="264" w:lineRule="auto"/>
              <w:rPr>
                <w:rFonts w:eastAsia="Calibri" w:cstheme="minorHAnsi"/>
                <w:b/>
                <w:bCs/>
                <w:sz w:val="20"/>
                <w:szCs w:val="20"/>
                <w:lang w:val="en-GB"/>
              </w:rPr>
            </w:pPr>
            <w:r w:rsidRPr="00B03BA6">
              <w:rPr>
                <w:rFonts w:eastAsia="Calibri" w:cstheme="minorHAnsi"/>
                <w:b/>
                <w:bCs/>
                <w:sz w:val="20"/>
                <w:szCs w:val="20"/>
                <w:lang w:val="en-GB"/>
              </w:rPr>
              <w:t xml:space="preserve">Additions to Articles of Association </w:t>
            </w:r>
          </w:p>
        </w:tc>
        <w:tc>
          <w:tcPr>
            <w:tcW w:w="5525" w:type="dxa"/>
            <w:shd w:val="clear" w:color="auto" w:fill="auto"/>
          </w:tcPr>
          <w:p w:rsidR="00DA5DBA" w:rsidRPr="00B03BA6" w:rsidRDefault="00DA5DBA" w:rsidP="009C1D51">
            <w:pPr>
              <w:spacing w:before="40" w:after="40" w:line="264" w:lineRule="auto"/>
              <w:rPr>
                <w:rFonts w:eastAsia="Calibri" w:cstheme="minorHAnsi"/>
                <w:i/>
                <w:iCs/>
                <w:sz w:val="20"/>
                <w:szCs w:val="20"/>
                <w:lang w:val="en-GB"/>
              </w:rPr>
            </w:pPr>
            <w:r w:rsidRPr="00B03BA6">
              <w:rPr>
                <w:rFonts w:eastAsia="Calibri" w:cstheme="minorHAnsi"/>
                <w:i/>
                <w:iCs/>
                <w:sz w:val="20"/>
                <w:szCs w:val="20"/>
                <w:lang w:val="en-GB"/>
              </w:rPr>
              <w:t>[Insert any additions to the Articles of Association]</w:t>
            </w:r>
          </w:p>
        </w:tc>
      </w:tr>
      <w:tr w:rsidR="00DA5DBA" w:rsidRPr="006C7E35" w:rsidTr="009C1D51">
        <w:trPr>
          <w:jc w:val="center"/>
        </w:trPr>
        <w:tc>
          <w:tcPr>
            <w:tcW w:w="1271" w:type="dxa"/>
            <w:shd w:val="clear" w:color="auto" w:fill="auto"/>
          </w:tcPr>
          <w:p w:rsidR="00DA5DBA" w:rsidRPr="00B03BA6" w:rsidRDefault="00DA5DBA" w:rsidP="009C1D51">
            <w:pPr>
              <w:spacing w:before="40" w:after="40" w:line="264" w:lineRule="auto"/>
              <w:rPr>
                <w:rFonts w:eastAsia="Calibri" w:cstheme="minorHAnsi"/>
                <w:b/>
                <w:bCs/>
                <w:sz w:val="20"/>
                <w:szCs w:val="20"/>
                <w:lang w:val="en-GB"/>
              </w:rPr>
            </w:pPr>
            <w:r w:rsidRPr="00B03BA6">
              <w:rPr>
                <w:rFonts w:eastAsia="Calibri" w:cstheme="minorHAnsi"/>
                <w:b/>
                <w:bCs/>
                <w:sz w:val="20"/>
                <w:szCs w:val="20"/>
                <w:lang w:val="en-GB"/>
              </w:rPr>
              <w:t>By-Law 3.2</w:t>
            </w:r>
          </w:p>
        </w:tc>
        <w:tc>
          <w:tcPr>
            <w:tcW w:w="2271" w:type="dxa"/>
            <w:shd w:val="clear" w:color="auto" w:fill="auto"/>
          </w:tcPr>
          <w:p w:rsidR="00DA5DBA" w:rsidRPr="00B03BA6" w:rsidRDefault="00DA5DBA" w:rsidP="009C1D51">
            <w:pPr>
              <w:spacing w:before="40" w:after="40" w:line="264" w:lineRule="auto"/>
              <w:rPr>
                <w:rFonts w:eastAsia="Calibri" w:cstheme="minorHAnsi"/>
                <w:b/>
                <w:bCs/>
                <w:sz w:val="20"/>
                <w:szCs w:val="20"/>
                <w:lang w:val="en-GB"/>
              </w:rPr>
            </w:pPr>
            <w:r w:rsidRPr="00B03BA6">
              <w:rPr>
                <w:rFonts w:eastAsia="Calibri" w:cstheme="minorHAnsi"/>
                <w:b/>
                <w:bCs/>
                <w:sz w:val="20"/>
                <w:szCs w:val="20"/>
                <w:lang w:val="en-GB"/>
              </w:rPr>
              <w:t>Additional provisions concerning election of Board members</w:t>
            </w:r>
          </w:p>
        </w:tc>
        <w:tc>
          <w:tcPr>
            <w:tcW w:w="5525" w:type="dxa"/>
            <w:shd w:val="clear" w:color="auto" w:fill="auto"/>
          </w:tcPr>
          <w:p w:rsidR="00DA5DBA" w:rsidRPr="00B03BA6" w:rsidRDefault="00DA5DBA" w:rsidP="009C1D51">
            <w:pPr>
              <w:spacing w:before="40" w:after="40" w:line="264" w:lineRule="auto"/>
              <w:rPr>
                <w:rFonts w:eastAsia="Calibri" w:cstheme="minorHAnsi"/>
                <w:i/>
                <w:iCs/>
                <w:sz w:val="20"/>
                <w:szCs w:val="20"/>
                <w:lang w:val="en-GB"/>
              </w:rPr>
            </w:pPr>
          </w:p>
        </w:tc>
      </w:tr>
      <w:tr w:rsidR="00DA5DBA" w:rsidRPr="006C7E35" w:rsidTr="009C1D51">
        <w:trPr>
          <w:jc w:val="center"/>
        </w:trPr>
        <w:tc>
          <w:tcPr>
            <w:tcW w:w="1271" w:type="dxa"/>
            <w:shd w:val="clear" w:color="auto" w:fill="auto"/>
          </w:tcPr>
          <w:p w:rsidR="00DA5DBA" w:rsidRPr="00B03BA6" w:rsidRDefault="00DA5DBA" w:rsidP="009C1D51">
            <w:pPr>
              <w:spacing w:before="40" w:after="40" w:line="264" w:lineRule="auto"/>
              <w:rPr>
                <w:rFonts w:eastAsia="Calibri" w:cstheme="minorHAnsi"/>
                <w:b/>
                <w:bCs/>
                <w:sz w:val="20"/>
                <w:szCs w:val="20"/>
                <w:lang w:val="en-GB"/>
              </w:rPr>
            </w:pPr>
            <w:r w:rsidRPr="00B03BA6">
              <w:rPr>
                <w:rFonts w:eastAsia="Calibri" w:cstheme="minorHAnsi"/>
                <w:b/>
                <w:bCs/>
                <w:sz w:val="20"/>
                <w:szCs w:val="20"/>
                <w:lang w:val="en-GB"/>
              </w:rPr>
              <w:lastRenderedPageBreak/>
              <w:t>By-Law 3.3</w:t>
            </w:r>
          </w:p>
        </w:tc>
        <w:tc>
          <w:tcPr>
            <w:tcW w:w="2271" w:type="dxa"/>
            <w:shd w:val="clear" w:color="auto" w:fill="auto"/>
          </w:tcPr>
          <w:p w:rsidR="00DA5DBA" w:rsidRPr="00B03BA6" w:rsidRDefault="00DA5DBA" w:rsidP="009C1D51">
            <w:pPr>
              <w:spacing w:before="40" w:after="40" w:line="264" w:lineRule="auto"/>
              <w:rPr>
                <w:rFonts w:eastAsia="Calibri" w:cstheme="minorHAnsi"/>
                <w:b/>
                <w:bCs/>
                <w:sz w:val="20"/>
                <w:szCs w:val="20"/>
                <w:lang w:val="en-GB"/>
              </w:rPr>
            </w:pPr>
            <w:r w:rsidRPr="00B03BA6">
              <w:rPr>
                <w:rFonts w:eastAsia="Calibri" w:cstheme="minorHAnsi"/>
                <w:b/>
                <w:bCs/>
                <w:sz w:val="20"/>
                <w:szCs w:val="20"/>
                <w:lang w:val="en-GB"/>
              </w:rPr>
              <w:t>Electronic voting</w:t>
            </w:r>
          </w:p>
        </w:tc>
        <w:tc>
          <w:tcPr>
            <w:tcW w:w="5525" w:type="dxa"/>
            <w:shd w:val="clear" w:color="auto" w:fill="auto"/>
          </w:tcPr>
          <w:p w:rsidR="00DA5DBA" w:rsidRPr="00B03BA6" w:rsidRDefault="00DA5DBA" w:rsidP="009C1D51">
            <w:pPr>
              <w:spacing w:before="40" w:after="40" w:line="264" w:lineRule="auto"/>
              <w:rPr>
                <w:rFonts w:eastAsia="Calibri" w:cstheme="minorHAnsi"/>
                <w:i/>
                <w:iCs/>
                <w:sz w:val="20"/>
                <w:szCs w:val="20"/>
                <w:lang w:val="en-GB"/>
              </w:rPr>
            </w:pPr>
            <w:r w:rsidRPr="00B03BA6">
              <w:rPr>
                <w:rFonts w:eastAsia="Calibri" w:cstheme="minorHAnsi"/>
                <w:i/>
                <w:iCs/>
                <w:sz w:val="20"/>
                <w:szCs w:val="20"/>
                <w:lang w:val="en-GB"/>
              </w:rPr>
              <w:t>[where the owners association wishes to permit voting by electronic means, the methodology to be followed should be set out here]</w:t>
            </w:r>
          </w:p>
        </w:tc>
      </w:tr>
      <w:tr w:rsidR="00DA5DBA" w:rsidRPr="006C7E35" w:rsidTr="009C1D51">
        <w:trPr>
          <w:jc w:val="center"/>
        </w:trPr>
        <w:tc>
          <w:tcPr>
            <w:tcW w:w="1271" w:type="dxa"/>
            <w:shd w:val="clear" w:color="auto" w:fill="auto"/>
          </w:tcPr>
          <w:p w:rsidR="00DA5DBA" w:rsidRPr="00B03BA6" w:rsidRDefault="00DA5DBA" w:rsidP="009C1D51">
            <w:pPr>
              <w:spacing w:before="40" w:after="40" w:line="264" w:lineRule="auto"/>
              <w:rPr>
                <w:rFonts w:eastAsia="Calibri" w:cstheme="minorHAnsi"/>
                <w:b/>
                <w:bCs/>
                <w:sz w:val="20"/>
                <w:szCs w:val="20"/>
                <w:lang w:val="en-GB"/>
              </w:rPr>
            </w:pPr>
            <w:r w:rsidRPr="00B03BA6">
              <w:rPr>
                <w:rFonts w:eastAsia="Calibri" w:cstheme="minorHAnsi"/>
                <w:b/>
                <w:bCs/>
                <w:sz w:val="20"/>
                <w:szCs w:val="20"/>
                <w:lang w:val="en-GB"/>
              </w:rPr>
              <w:t>By-Law 3.4</w:t>
            </w:r>
          </w:p>
        </w:tc>
        <w:tc>
          <w:tcPr>
            <w:tcW w:w="2271" w:type="dxa"/>
            <w:shd w:val="clear" w:color="auto" w:fill="auto"/>
          </w:tcPr>
          <w:p w:rsidR="00DA5DBA" w:rsidRPr="00B03BA6" w:rsidRDefault="00DA5DBA" w:rsidP="009C1D51">
            <w:pPr>
              <w:spacing w:before="40" w:after="40" w:line="264" w:lineRule="auto"/>
              <w:rPr>
                <w:rFonts w:eastAsia="Calibri" w:cstheme="minorHAnsi"/>
                <w:b/>
                <w:bCs/>
                <w:sz w:val="20"/>
                <w:szCs w:val="20"/>
                <w:lang w:val="en-GB"/>
              </w:rPr>
            </w:pPr>
            <w:r w:rsidRPr="00B03BA6">
              <w:rPr>
                <w:rFonts w:eastAsia="Calibri" w:cstheme="minorHAnsi"/>
                <w:b/>
                <w:bCs/>
                <w:sz w:val="20"/>
                <w:szCs w:val="20"/>
                <w:lang w:val="en-GB"/>
              </w:rPr>
              <w:t xml:space="preserve">Enforcement mechanism for violators Article 18 </w:t>
            </w:r>
          </w:p>
        </w:tc>
        <w:tc>
          <w:tcPr>
            <w:tcW w:w="5525" w:type="dxa"/>
            <w:shd w:val="clear" w:color="auto" w:fill="auto"/>
          </w:tcPr>
          <w:p w:rsidR="00DA5DBA" w:rsidRPr="00B03BA6" w:rsidRDefault="00DA5DBA" w:rsidP="009C1D51">
            <w:pPr>
              <w:spacing w:before="40" w:after="40" w:line="264" w:lineRule="auto"/>
              <w:rPr>
                <w:rFonts w:eastAsia="Calibri" w:cstheme="minorHAnsi"/>
                <w:i/>
                <w:iCs/>
                <w:sz w:val="20"/>
                <w:szCs w:val="20"/>
                <w:lang w:val="en-GB"/>
              </w:rPr>
            </w:pPr>
            <w:r w:rsidRPr="00B03BA6">
              <w:rPr>
                <w:rFonts w:eastAsia="Calibri" w:cstheme="minorHAnsi"/>
                <w:i/>
                <w:iCs/>
                <w:sz w:val="20"/>
                <w:szCs w:val="20"/>
                <w:lang w:val="en-GB"/>
              </w:rPr>
              <w:t>[Set out the process to be followed where the owners association determines that despite notices and warnings, an owner or owner’s tenants /occupiers fail to comply with owners association operating rules etc]</w:t>
            </w:r>
          </w:p>
        </w:tc>
      </w:tr>
      <w:tr w:rsidR="00DA5DBA" w:rsidRPr="006C7E35" w:rsidTr="009C1D51">
        <w:trPr>
          <w:jc w:val="center"/>
        </w:trPr>
        <w:tc>
          <w:tcPr>
            <w:tcW w:w="9067" w:type="dxa"/>
            <w:gridSpan w:val="3"/>
            <w:shd w:val="clear" w:color="auto" w:fill="D9D9D9" w:themeFill="background1" w:themeFillShade="D9"/>
          </w:tcPr>
          <w:p w:rsidR="00DA5DBA" w:rsidRPr="00B03BA6" w:rsidRDefault="00DA5DBA" w:rsidP="009C1D51">
            <w:pPr>
              <w:spacing w:before="40" w:after="40" w:line="264" w:lineRule="auto"/>
              <w:rPr>
                <w:rFonts w:eastAsia="Calibri" w:cstheme="minorHAnsi"/>
                <w:sz w:val="20"/>
                <w:szCs w:val="20"/>
                <w:lang w:val="en-GB"/>
              </w:rPr>
            </w:pPr>
            <w:r w:rsidRPr="00B03BA6">
              <w:rPr>
                <w:rFonts w:eastAsia="Calibri" w:cstheme="minorHAnsi"/>
                <w:b/>
                <w:bCs/>
                <w:color w:val="5B9BD5" w:themeColor="accent1"/>
                <w:lang w:val="en-GB"/>
              </w:rPr>
              <w:t>PART 4 – Special Management Schemes</w:t>
            </w:r>
          </w:p>
        </w:tc>
      </w:tr>
      <w:tr w:rsidR="00DA5DBA" w:rsidRPr="006C7E35" w:rsidTr="009C1D51">
        <w:trPr>
          <w:jc w:val="center"/>
        </w:trPr>
        <w:tc>
          <w:tcPr>
            <w:tcW w:w="1271" w:type="dxa"/>
            <w:shd w:val="clear" w:color="auto" w:fill="auto"/>
          </w:tcPr>
          <w:p w:rsidR="00DA5DBA" w:rsidRPr="00B03BA6" w:rsidRDefault="00DA5DBA" w:rsidP="009C1D51">
            <w:pPr>
              <w:spacing w:before="40" w:after="40" w:line="264" w:lineRule="auto"/>
              <w:rPr>
                <w:rFonts w:eastAsia="Calibri" w:cstheme="minorHAnsi"/>
                <w:b/>
                <w:bCs/>
                <w:sz w:val="20"/>
                <w:szCs w:val="20"/>
                <w:lang w:val="en-GB"/>
              </w:rPr>
            </w:pPr>
            <w:r w:rsidRPr="00B03BA6">
              <w:rPr>
                <w:rFonts w:eastAsia="Calibri" w:cstheme="minorHAnsi"/>
                <w:b/>
                <w:bCs/>
                <w:sz w:val="20"/>
                <w:szCs w:val="20"/>
                <w:lang w:val="en-GB"/>
              </w:rPr>
              <w:t>By-Law 4.1</w:t>
            </w:r>
          </w:p>
        </w:tc>
        <w:tc>
          <w:tcPr>
            <w:tcW w:w="2271" w:type="dxa"/>
            <w:shd w:val="clear" w:color="auto" w:fill="auto"/>
          </w:tcPr>
          <w:p w:rsidR="00DA5DBA" w:rsidRPr="00B03BA6" w:rsidRDefault="00DA5DBA" w:rsidP="009C1D51">
            <w:pPr>
              <w:spacing w:before="40" w:after="40" w:line="264" w:lineRule="auto"/>
              <w:rPr>
                <w:rFonts w:eastAsia="Calibri" w:cstheme="minorHAnsi"/>
                <w:b/>
                <w:bCs/>
                <w:sz w:val="20"/>
                <w:szCs w:val="20"/>
                <w:lang w:val="en-GB"/>
              </w:rPr>
            </w:pPr>
            <w:r w:rsidRPr="00B03BA6">
              <w:rPr>
                <w:rFonts w:eastAsia="Calibri" w:cstheme="minorHAnsi"/>
                <w:b/>
                <w:bCs/>
                <w:sz w:val="20"/>
                <w:szCs w:val="20"/>
                <w:lang w:val="en-GB"/>
              </w:rPr>
              <w:t>Special Management Scheme requirements</w:t>
            </w:r>
          </w:p>
        </w:tc>
        <w:tc>
          <w:tcPr>
            <w:tcW w:w="5525" w:type="dxa"/>
            <w:shd w:val="clear" w:color="auto" w:fill="auto"/>
          </w:tcPr>
          <w:p w:rsidR="00DA5DBA" w:rsidRPr="00B03BA6" w:rsidRDefault="00DA5DBA" w:rsidP="009C1D51">
            <w:pPr>
              <w:spacing w:before="40" w:after="40" w:line="264" w:lineRule="auto"/>
              <w:rPr>
                <w:rFonts w:eastAsia="Calibri" w:cstheme="minorHAnsi"/>
                <w:i/>
                <w:iCs/>
                <w:sz w:val="20"/>
                <w:szCs w:val="20"/>
                <w:lang w:val="en-GB"/>
              </w:rPr>
            </w:pPr>
            <w:r w:rsidRPr="00B03BA6">
              <w:rPr>
                <w:rFonts w:eastAsia="Calibri" w:cstheme="minorHAnsi"/>
                <w:i/>
                <w:iCs/>
                <w:sz w:val="20"/>
                <w:szCs w:val="20"/>
                <w:lang w:val="en-GB"/>
              </w:rPr>
              <w:t>[An additional resolution is to be prepared by RERA to clarify these requirements]</w:t>
            </w:r>
          </w:p>
        </w:tc>
      </w:tr>
      <w:tr w:rsidR="00DA5DBA" w:rsidRPr="006C7E35" w:rsidTr="009C1D51">
        <w:trPr>
          <w:jc w:val="center"/>
        </w:trPr>
        <w:tc>
          <w:tcPr>
            <w:tcW w:w="1271" w:type="dxa"/>
            <w:shd w:val="clear" w:color="auto" w:fill="auto"/>
          </w:tcPr>
          <w:p w:rsidR="00DA5DBA" w:rsidRPr="00B03BA6" w:rsidRDefault="00DA5DBA" w:rsidP="009C1D51">
            <w:pPr>
              <w:spacing w:before="40" w:after="40" w:line="264" w:lineRule="auto"/>
              <w:rPr>
                <w:rFonts w:eastAsia="Calibri" w:cstheme="minorHAnsi"/>
                <w:b/>
                <w:bCs/>
                <w:sz w:val="20"/>
                <w:szCs w:val="20"/>
                <w:lang w:val="en-GB"/>
              </w:rPr>
            </w:pPr>
          </w:p>
        </w:tc>
        <w:tc>
          <w:tcPr>
            <w:tcW w:w="2271" w:type="dxa"/>
            <w:shd w:val="clear" w:color="auto" w:fill="auto"/>
          </w:tcPr>
          <w:p w:rsidR="00DA5DBA" w:rsidRPr="00B03BA6" w:rsidRDefault="00DA5DBA" w:rsidP="009C1D51">
            <w:pPr>
              <w:spacing w:before="40" w:after="40" w:line="264" w:lineRule="auto"/>
              <w:rPr>
                <w:rFonts w:eastAsia="Calibri" w:cstheme="minorHAnsi"/>
                <w:b/>
                <w:bCs/>
                <w:sz w:val="20"/>
                <w:szCs w:val="20"/>
                <w:lang w:val="en-GB"/>
              </w:rPr>
            </w:pPr>
          </w:p>
        </w:tc>
        <w:tc>
          <w:tcPr>
            <w:tcW w:w="5525" w:type="dxa"/>
            <w:shd w:val="clear" w:color="auto" w:fill="auto"/>
          </w:tcPr>
          <w:p w:rsidR="00DA5DBA" w:rsidRPr="00B03BA6" w:rsidRDefault="00DA5DBA" w:rsidP="009C1D51">
            <w:pPr>
              <w:spacing w:before="40" w:after="40" w:line="264" w:lineRule="auto"/>
              <w:rPr>
                <w:rFonts w:eastAsia="Calibri" w:cstheme="minorHAnsi"/>
                <w:sz w:val="20"/>
                <w:szCs w:val="20"/>
                <w:lang w:val="en-GB"/>
              </w:rPr>
            </w:pPr>
          </w:p>
        </w:tc>
      </w:tr>
    </w:tbl>
    <w:p w:rsidR="00DA5DBA" w:rsidRPr="00490CBA" w:rsidRDefault="00DA5DBA" w:rsidP="00DA5DBA">
      <w:pPr>
        <w:spacing w:after="0" w:line="240" w:lineRule="auto"/>
        <w:rPr>
          <w:rFonts w:ascii="Book Antiqua" w:eastAsia="Times New Roman" w:hAnsi="Book Antiqua" w:cs="Simplified Arabic"/>
          <w:b/>
          <w:sz w:val="24"/>
          <w:szCs w:val="24"/>
          <w:lang w:val="en-GB"/>
        </w:rPr>
      </w:pPr>
    </w:p>
    <w:p w:rsidR="00DA5DBA" w:rsidRPr="00B42A6C" w:rsidRDefault="00DA5DBA" w:rsidP="00DA5DBA">
      <w:pPr>
        <w:spacing w:after="0" w:line="240" w:lineRule="auto"/>
      </w:pPr>
    </w:p>
    <w:p w:rsidR="00FF2A30" w:rsidRDefault="00FF2A30"/>
    <w:sectPr w:rsidR="00FF2A30">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69DF" w:rsidRDefault="00BF69DF" w:rsidP="00DA5DBA">
      <w:pPr>
        <w:spacing w:after="0" w:line="240" w:lineRule="auto"/>
      </w:pPr>
      <w:r>
        <w:separator/>
      </w:r>
    </w:p>
  </w:endnote>
  <w:endnote w:type="continuationSeparator" w:id="0">
    <w:p w:rsidR="00BF69DF" w:rsidRDefault="00BF69DF" w:rsidP="00DA5D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implified Arabic">
    <w:altName w:val="Times New Roman"/>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i/>
        <w:iCs/>
        <w:sz w:val="18"/>
        <w:szCs w:val="18"/>
      </w:rPr>
      <w:id w:val="-754674031"/>
      <w:docPartObj>
        <w:docPartGallery w:val="Page Numbers (Bottom of Page)"/>
        <w:docPartUnique/>
      </w:docPartObj>
    </w:sdtPr>
    <w:sdtEndPr>
      <w:rPr>
        <w:noProof/>
      </w:rPr>
    </w:sdtEndPr>
    <w:sdtContent>
      <w:p w:rsidR="007C22E5" w:rsidRPr="0068168C" w:rsidRDefault="00BF69DF" w:rsidP="0068168C">
        <w:pPr>
          <w:pStyle w:val="Footer"/>
          <w:jc w:val="right"/>
          <w:rPr>
            <w:i/>
            <w:iCs/>
            <w:sz w:val="18"/>
            <w:szCs w:val="18"/>
          </w:rPr>
        </w:pPr>
        <w:r w:rsidRPr="0068168C">
          <w:rPr>
            <w:i/>
            <w:iCs/>
            <w:sz w:val="18"/>
            <w:szCs w:val="18"/>
          </w:rPr>
          <w:t xml:space="preserve">Guide for owners associations </w:t>
        </w:r>
        <w:r>
          <w:rPr>
            <w:i/>
            <w:iCs/>
            <w:sz w:val="18"/>
            <w:szCs w:val="18"/>
          </w:rPr>
          <w:t>publication</w:t>
        </w:r>
        <w:r>
          <w:rPr>
            <w:i/>
            <w:iCs/>
            <w:sz w:val="18"/>
            <w:szCs w:val="18"/>
          </w:rPr>
          <w:t xml:space="preserve"> version</w:t>
        </w:r>
        <w:r>
          <w:rPr>
            <w:i/>
            <w:iCs/>
            <w:sz w:val="18"/>
            <w:szCs w:val="18"/>
          </w:rPr>
          <w:t xml:space="preserve"> 1.0</w:t>
        </w:r>
        <w:r>
          <w:rPr>
            <w:i/>
            <w:iCs/>
            <w:sz w:val="18"/>
            <w:szCs w:val="18"/>
          </w:rPr>
          <w:t xml:space="preserve">                                                                   </w:t>
        </w:r>
        <w:r w:rsidRPr="0068168C">
          <w:rPr>
            <w:i/>
            <w:iCs/>
            <w:sz w:val="18"/>
            <w:szCs w:val="18"/>
          </w:rPr>
          <w:fldChar w:fldCharType="begin"/>
        </w:r>
        <w:r w:rsidRPr="0068168C">
          <w:rPr>
            <w:i/>
            <w:iCs/>
            <w:sz w:val="18"/>
            <w:szCs w:val="18"/>
          </w:rPr>
          <w:instrText xml:space="preserve"> PAGE   \* MERGEFORMAT </w:instrText>
        </w:r>
        <w:r w:rsidRPr="0068168C">
          <w:rPr>
            <w:i/>
            <w:iCs/>
            <w:sz w:val="18"/>
            <w:szCs w:val="18"/>
          </w:rPr>
          <w:fldChar w:fldCharType="separate"/>
        </w:r>
        <w:r w:rsidR="00DA5DBA">
          <w:rPr>
            <w:i/>
            <w:iCs/>
            <w:noProof/>
            <w:sz w:val="18"/>
            <w:szCs w:val="18"/>
          </w:rPr>
          <w:t>4</w:t>
        </w:r>
        <w:r w:rsidRPr="0068168C">
          <w:rPr>
            <w:i/>
            <w:iCs/>
            <w:noProof/>
            <w:sz w:val="18"/>
            <w:szCs w:val="18"/>
          </w:rPr>
          <w:fldChar w:fldCharType="end"/>
        </w:r>
      </w:p>
    </w:sdtContent>
  </w:sdt>
  <w:p w:rsidR="007C22E5" w:rsidRDefault="00BF69D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69DF" w:rsidRDefault="00BF69DF" w:rsidP="00DA5DBA">
      <w:pPr>
        <w:spacing w:after="0" w:line="240" w:lineRule="auto"/>
      </w:pPr>
      <w:r>
        <w:separator/>
      </w:r>
    </w:p>
  </w:footnote>
  <w:footnote w:type="continuationSeparator" w:id="0">
    <w:p w:rsidR="00BF69DF" w:rsidRDefault="00BF69DF" w:rsidP="00DA5DBA">
      <w:pPr>
        <w:spacing w:after="0" w:line="240" w:lineRule="auto"/>
      </w:pPr>
      <w:r>
        <w:continuationSeparator/>
      </w:r>
    </w:p>
  </w:footnote>
  <w:footnote w:id="1">
    <w:p w:rsidR="00DA5DBA" w:rsidRPr="002C2889" w:rsidRDefault="00DA5DBA" w:rsidP="00DA5DBA">
      <w:pPr>
        <w:pStyle w:val="FootnoteText"/>
        <w:jc w:val="both"/>
        <w:rPr>
          <w:i/>
          <w:iCs/>
        </w:rPr>
      </w:pPr>
      <w:r w:rsidRPr="002C2889">
        <w:rPr>
          <w:rStyle w:val="FootnoteReference"/>
          <w:i/>
          <w:iCs/>
        </w:rPr>
        <w:footnoteRef/>
      </w:r>
      <w:r w:rsidRPr="002C2889">
        <w:rPr>
          <w:i/>
          <w:iCs/>
        </w:rPr>
        <w:t xml:space="preserve"> Delete items that are not relevant to the particular joint property. Maintain consecutive numbering. The manner of numbering may vary fr</w:t>
      </w:r>
      <w:r>
        <w:rPr>
          <w:i/>
          <w:iCs/>
        </w:rPr>
        <w:t>o</w:t>
      </w:r>
      <w:r w:rsidRPr="002C2889">
        <w:rPr>
          <w:i/>
          <w:iCs/>
        </w:rPr>
        <w:t>m that in the template but should be consistent in the document</w:t>
      </w:r>
      <w:r>
        <w:rPr>
          <w:i/>
          <w:iCs/>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5DBA" w:rsidRDefault="00DA5DBA">
    <w:pPr>
      <w:pStyle w:val="Header"/>
    </w:pPr>
    <w:r>
      <w:rPr>
        <w:noProof/>
        <w:lang w:val="en-US"/>
      </w:rPr>
      <w:drawing>
        <wp:anchor distT="0" distB="0" distL="114300" distR="114300" simplePos="0" relativeHeight="251659264" behindDoc="0" locked="0" layoutInCell="1" allowOverlap="1" wp14:anchorId="16AFF418" wp14:editId="7733FF07">
          <wp:simplePos x="0" y="0"/>
          <wp:positionH relativeFrom="margin">
            <wp:posOffset>4406349</wp:posOffset>
          </wp:positionH>
          <wp:positionV relativeFrom="paragraph">
            <wp:posOffset>-53179</wp:posOffset>
          </wp:positionV>
          <wp:extent cx="1400584" cy="403902"/>
          <wp:effectExtent l="0" t="0" r="952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00584" cy="40390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35655"/>
    <w:multiLevelType w:val="hybridMultilevel"/>
    <w:tmpl w:val="8454FD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684767B"/>
    <w:multiLevelType w:val="hybridMultilevel"/>
    <w:tmpl w:val="4B8A43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0715336"/>
    <w:multiLevelType w:val="hybridMultilevel"/>
    <w:tmpl w:val="F3CA38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3723C7B"/>
    <w:multiLevelType w:val="hybridMultilevel"/>
    <w:tmpl w:val="F6DC14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DBA"/>
    <w:rsid w:val="008318A4"/>
    <w:rsid w:val="00BF69DF"/>
    <w:rsid w:val="00DA5DBA"/>
    <w:rsid w:val="00FF2A3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8A4188"/>
  <w15:chartTrackingRefBased/>
  <w15:docId w15:val="{4F045923-1F92-42FA-94CA-C7723D9F6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5DBA"/>
    <w:rPr>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Normal"/>
    <w:autoRedefine/>
    <w:qFormat/>
    <w:rsid w:val="008318A4"/>
    <w:pPr>
      <w:spacing w:before="120" w:after="120" w:line="276" w:lineRule="auto"/>
      <w:contextualSpacing/>
    </w:pPr>
    <w:rPr>
      <w:color w:val="000000" w:themeColor="text1"/>
    </w:rPr>
  </w:style>
  <w:style w:type="paragraph" w:styleId="ListParagraph">
    <w:name w:val="List Paragraph"/>
    <w:basedOn w:val="Normal"/>
    <w:uiPriority w:val="34"/>
    <w:qFormat/>
    <w:rsid w:val="00DA5DBA"/>
    <w:pPr>
      <w:ind w:left="720"/>
      <w:contextualSpacing/>
    </w:pPr>
  </w:style>
  <w:style w:type="paragraph" w:styleId="Footer">
    <w:name w:val="footer"/>
    <w:basedOn w:val="Normal"/>
    <w:link w:val="FooterChar"/>
    <w:uiPriority w:val="99"/>
    <w:unhideWhenUsed/>
    <w:rsid w:val="00DA5D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5DBA"/>
    <w:rPr>
      <w:lang w:val="en-AU"/>
    </w:rPr>
  </w:style>
  <w:style w:type="paragraph" w:styleId="FootnoteText">
    <w:name w:val="footnote text"/>
    <w:basedOn w:val="Normal"/>
    <w:link w:val="FootnoteTextChar"/>
    <w:uiPriority w:val="99"/>
    <w:semiHidden/>
    <w:unhideWhenUsed/>
    <w:rsid w:val="00DA5DB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A5DBA"/>
    <w:rPr>
      <w:sz w:val="20"/>
      <w:szCs w:val="20"/>
      <w:lang w:val="en-AU"/>
    </w:rPr>
  </w:style>
  <w:style w:type="character" w:styleId="FootnoteReference">
    <w:name w:val="footnote reference"/>
    <w:basedOn w:val="DefaultParagraphFont"/>
    <w:uiPriority w:val="99"/>
    <w:semiHidden/>
    <w:unhideWhenUsed/>
    <w:rsid w:val="00DA5DBA"/>
    <w:rPr>
      <w:vertAlign w:val="superscript"/>
    </w:rPr>
  </w:style>
  <w:style w:type="paragraph" w:styleId="Header">
    <w:name w:val="header"/>
    <w:basedOn w:val="Normal"/>
    <w:link w:val="HeaderChar"/>
    <w:uiPriority w:val="99"/>
    <w:unhideWhenUsed/>
    <w:rsid w:val="00DA5D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5DBA"/>
    <w:rPr>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1258</Words>
  <Characters>7174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Odysseas Spyroglou</dc:creator>
  <cp:keywords/>
  <dc:description/>
  <cp:lastModifiedBy>Odysseas Spyroglou</cp:lastModifiedBy>
  <cp:revision>1</cp:revision>
  <dcterms:created xsi:type="dcterms:W3CDTF">2018-09-27T08:44:00Z</dcterms:created>
  <dcterms:modified xsi:type="dcterms:W3CDTF">2018-09-27T08:48:00Z</dcterms:modified>
</cp:coreProperties>
</file>